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5B2D3" w14:textId="77372010" w:rsidR="00FF21A1" w:rsidRDefault="00FF21A1" w:rsidP="00FF21A1">
      <w:pPr>
        <w:tabs>
          <w:tab w:val="right" w:pos="9498"/>
        </w:tabs>
        <w:rPr>
          <w:b/>
          <w:lang w:eastAsia="ja-JP"/>
        </w:rPr>
      </w:pPr>
      <w:r w:rsidRPr="00C51D50">
        <w:rPr>
          <w:rFonts w:cs="Arial"/>
          <w:b/>
          <w:bCs/>
        </w:rPr>
        <w:t xml:space="preserve">3GPP TSG RAN WG1 </w:t>
      </w:r>
      <w:r>
        <w:rPr>
          <w:rFonts w:cs="Arial"/>
          <w:b/>
          <w:bCs/>
        </w:rPr>
        <w:t>#</w:t>
      </w:r>
      <w:r w:rsidR="00550773">
        <w:rPr>
          <w:rFonts w:cs="Arial"/>
          <w:b/>
          <w:bCs/>
        </w:rPr>
        <w:t>9</w:t>
      </w:r>
      <w:r w:rsidR="00500A5A">
        <w:rPr>
          <w:rFonts w:cs="Arial"/>
          <w:b/>
          <w:bCs/>
        </w:rPr>
        <w:t>8</w:t>
      </w:r>
      <w:r w:rsidR="005C6B5E">
        <w:rPr>
          <w:rFonts w:cs="Arial"/>
          <w:b/>
          <w:bCs/>
        </w:rPr>
        <w:t>bis</w:t>
      </w:r>
      <w:r>
        <w:rPr>
          <w:rFonts w:hint="eastAsia"/>
          <w:b/>
          <w:lang w:eastAsia="ja-JP"/>
        </w:rPr>
        <w:tab/>
      </w:r>
      <w:r w:rsidRPr="00CF3BB7">
        <w:rPr>
          <w:b/>
        </w:rPr>
        <w:t>R1-19</w:t>
      </w:r>
      <w:r w:rsidR="005C6B5E">
        <w:rPr>
          <w:b/>
        </w:rPr>
        <w:t>10564</w:t>
      </w:r>
      <w:r>
        <w:rPr>
          <w:rFonts w:hint="eastAsia"/>
          <w:b/>
          <w:lang w:eastAsia="ja-JP"/>
        </w:rPr>
        <w:br/>
      </w:r>
      <w:r w:rsidR="005C6B5E">
        <w:rPr>
          <w:b/>
          <w:bCs/>
          <w:lang w:eastAsia="ja-JP"/>
        </w:rPr>
        <w:t>Chongqing</w:t>
      </w:r>
      <w:r w:rsidR="005C6B5E" w:rsidRPr="0033761E">
        <w:rPr>
          <w:b/>
          <w:bCs/>
          <w:lang w:eastAsia="ja-JP"/>
        </w:rPr>
        <w:t xml:space="preserve">, </w:t>
      </w:r>
      <w:r w:rsidR="005C6B5E">
        <w:rPr>
          <w:b/>
          <w:bCs/>
          <w:lang w:eastAsia="ja-JP"/>
        </w:rPr>
        <w:t>China</w:t>
      </w:r>
      <w:r w:rsidR="005C6B5E" w:rsidRPr="0033761E">
        <w:rPr>
          <w:b/>
          <w:bCs/>
          <w:lang w:eastAsia="ja-JP"/>
        </w:rPr>
        <w:t xml:space="preserve">, </w:t>
      </w:r>
      <w:r w:rsidR="005C6B5E">
        <w:rPr>
          <w:b/>
          <w:bCs/>
          <w:lang w:eastAsia="ja-JP"/>
        </w:rPr>
        <w:t>October</w:t>
      </w:r>
      <w:r w:rsidR="005C6B5E" w:rsidRPr="0033761E">
        <w:rPr>
          <w:b/>
          <w:bCs/>
          <w:lang w:eastAsia="ja-JP"/>
        </w:rPr>
        <w:t xml:space="preserve"> </w:t>
      </w:r>
      <w:r w:rsidR="005C6B5E">
        <w:rPr>
          <w:b/>
          <w:bCs/>
          <w:lang w:eastAsia="ja-JP"/>
        </w:rPr>
        <w:t>14</w:t>
      </w:r>
      <w:r w:rsidR="005C6B5E" w:rsidRPr="0033761E">
        <w:rPr>
          <w:b/>
          <w:bCs/>
          <w:vertAlign w:val="superscript"/>
          <w:lang w:eastAsia="ja-JP"/>
        </w:rPr>
        <w:t>th</w:t>
      </w:r>
      <w:r w:rsidR="005C6B5E" w:rsidRPr="0033761E">
        <w:rPr>
          <w:b/>
          <w:bCs/>
          <w:lang w:eastAsia="ja-JP"/>
        </w:rPr>
        <w:t xml:space="preserve"> – </w:t>
      </w:r>
      <w:r w:rsidR="005C6B5E">
        <w:rPr>
          <w:b/>
          <w:bCs/>
          <w:lang w:eastAsia="ja-JP"/>
        </w:rPr>
        <w:t>20</w:t>
      </w:r>
      <w:r w:rsidR="005C6B5E" w:rsidRPr="0033761E">
        <w:rPr>
          <w:b/>
          <w:bCs/>
          <w:vertAlign w:val="superscript"/>
          <w:lang w:eastAsia="ja-JP"/>
        </w:rPr>
        <w:t>th</w:t>
      </w:r>
      <w:r w:rsidR="005C6B5E" w:rsidRPr="0033761E">
        <w:rPr>
          <w:b/>
          <w:bCs/>
          <w:lang w:eastAsia="ja-JP"/>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DED1777" w:rsidR="006D3ED4" w:rsidRDefault="007863A4" w:rsidP="00836208">
      <w:pPr>
        <w:tabs>
          <w:tab w:val="left" w:pos="1560"/>
        </w:tabs>
        <w:spacing w:after="0"/>
        <w:rPr>
          <w:lang w:eastAsia="ja-JP"/>
        </w:rPr>
      </w:pPr>
      <w:r w:rsidRPr="00A279F2">
        <w:rPr>
          <w:b/>
        </w:rPr>
        <w:t>Title:</w:t>
      </w:r>
      <w:r w:rsidRPr="00F74272">
        <w:tab/>
      </w:r>
      <w:r w:rsidR="00A73135">
        <w:t xml:space="preserve">PRACH </w:t>
      </w:r>
      <w:r w:rsidR="00EE4342">
        <w:t xml:space="preserve">and paging </w:t>
      </w:r>
      <w:r w:rsidR="00A73135">
        <w:t>resource</w:t>
      </w:r>
      <w:r w:rsidR="00EA29F9">
        <w:rPr>
          <w:rFonts w:hint="eastAsia"/>
          <w:lang w:eastAsia="ja-JP"/>
        </w:rPr>
        <w:t xml:space="preserve"> </w:t>
      </w:r>
      <w:r w:rsidR="00EA29F9" w:rsidRPr="00EA29F9">
        <w:rPr>
          <w:lang w:eastAsia="ja-JP"/>
        </w:rPr>
        <w:t>enhancement</w:t>
      </w:r>
      <w:r w:rsidR="009E6F62">
        <w:rPr>
          <w:lang w:eastAsia="ja-JP"/>
        </w:rPr>
        <w:t xml:space="preserve"> for NR-U</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10E35DF4" w:rsidR="007067DE" w:rsidRDefault="007711CD" w:rsidP="00ED3183">
      <w:pPr>
        <w:tabs>
          <w:tab w:val="left" w:pos="0"/>
        </w:tabs>
        <w:spacing w:after="0"/>
        <w:rPr>
          <w:rFonts w:ascii="Times New Roman" w:eastAsiaTheme="minorEastAsia" w:hAnsi="Times New Roman"/>
          <w:lang w:eastAsia="ja-JP"/>
        </w:rPr>
      </w:pPr>
      <w:r w:rsidRPr="00ED3183">
        <w:rPr>
          <w:rFonts w:ascii="Times New Roman" w:hAnsi="Times New Roman"/>
          <w:lang w:eastAsia="ja-JP"/>
        </w:rPr>
        <w:t xml:space="preserve">This document </w:t>
      </w:r>
      <w:r w:rsidR="00430A1A">
        <w:rPr>
          <w:rFonts w:ascii="Times New Roman" w:hAnsi="Times New Roman"/>
          <w:lang w:eastAsia="ja-JP"/>
        </w:rPr>
        <w:t xml:space="preserve">is the resubmission of </w:t>
      </w:r>
      <w:r w:rsidR="00430A1A">
        <w:rPr>
          <w:rFonts w:ascii="Times New Roman" w:hAnsi="Times New Roman"/>
          <w:lang w:eastAsia="ja-JP"/>
        </w:rPr>
        <w:fldChar w:fldCharType="begin"/>
      </w:r>
      <w:r w:rsidR="00430A1A">
        <w:rPr>
          <w:rFonts w:ascii="Times New Roman" w:hAnsi="Times New Roman"/>
          <w:lang w:eastAsia="ja-JP"/>
        </w:rPr>
        <w:instrText xml:space="preserve"> REF _Ref20909030 \r \h </w:instrText>
      </w:r>
      <w:r w:rsidR="00430A1A">
        <w:rPr>
          <w:rFonts w:ascii="Times New Roman" w:hAnsi="Times New Roman"/>
          <w:lang w:eastAsia="ja-JP"/>
        </w:rPr>
      </w:r>
      <w:r w:rsidR="00430A1A">
        <w:rPr>
          <w:rFonts w:ascii="Times New Roman" w:hAnsi="Times New Roman"/>
          <w:lang w:eastAsia="ja-JP"/>
        </w:rPr>
        <w:fldChar w:fldCharType="separate"/>
      </w:r>
      <w:r w:rsidR="00430A1A">
        <w:rPr>
          <w:rFonts w:ascii="Times New Roman" w:hAnsi="Times New Roman"/>
          <w:lang w:eastAsia="ja-JP"/>
        </w:rPr>
        <w:t>[1]</w:t>
      </w:r>
      <w:r w:rsidR="00430A1A">
        <w:rPr>
          <w:rFonts w:ascii="Times New Roman" w:hAnsi="Times New Roman"/>
          <w:lang w:eastAsia="ja-JP"/>
        </w:rPr>
        <w:fldChar w:fldCharType="end"/>
      </w:r>
      <w:r w:rsidR="00430A1A">
        <w:rPr>
          <w:rFonts w:ascii="Times New Roman" w:hAnsi="Times New Roman"/>
          <w:lang w:eastAsia="ja-JP"/>
        </w:rPr>
        <w:t xml:space="preserve">. This </w:t>
      </w:r>
      <w:bookmarkStart w:id="0" w:name="_GoBack"/>
      <w:bookmarkEnd w:id="0"/>
      <w:r w:rsidRPr="00ED3183">
        <w:rPr>
          <w:rFonts w:ascii="Times New Roman" w:hAnsi="Times New Roman"/>
          <w:lang w:eastAsia="ja-JP"/>
        </w:rPr>
        <w:t xml:space="preserve">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E4342">
        <w:rPr>
          <w:rFonts w:ascii="Times New Roman" w:eastAsiaTheme="minorEastAsia" w:hAnsi="Times New Roman"/>
          <w:lang w:eastAsia="ja-JP"/>
        </w:rPr>
        <w:t>, and mechanism to enhance paging opportunities</w:t>
      </w:r>
      <w:r w:rsidR="00ED3183" w:rsidRPr="00ED3183">
        <w:rPr>
          <w:rFonts w:ascii="Times New Roman" w:eastAsiaTheme="minorEastAsia" w:hAnsi="Times New Roman"/>
          <w:lang w:eastAsia="ja-JP"/>
        </w:rPr>
        <w:t>.</w:t>
      </w:r>
      <w:r w:rsidR="00075AC6">
        <w:rPr>
          <w:rFonts w:ascii="Times New Roman" w:eastAsiaTheme="minorEastAsia" w:hAnsi="Times New Roman"/>
          <w:lang w:eastAsia="ja-JP"/>
        </w:rPr>
        <w:t xml:space="preserve"> Compared to </w:t>
      </w:r>
      <w:r w:rsidR="00060D18">
        <w:rPr>
          <w:rFonts w:ascii="Times New Roman" w:eastAsiaTheme="minorEastAsia" w:hAnsi="Times New Roman"/>
          <w:lang w:eastAsia="ja-JP"/>
        </w:rPr>
        <w:t xml:space="preserve">previous </w:t>
      </w:r>
      <w:r w:rsidR="00075AC6">
        <w:rPr>
          <w:rFonts w:ascii="Times New Roman" w:eastAsiaTheme="minorEastAsia" w:hAnsi="Times New Roman"/>
          <w:lang w:eastAsia="ja-JP"/>
        </w:rPr>
        <w:t>R1-1906084, the following contents are new:</w:t>
      </w:r>
    </w:p>
    <w:p w14:paraId="23655CDF" w14:textId="04A8E60D" w:rsidR="00075AC6"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Section 2.2, using GC-PDCCH carrying COT structure information for dynamic indication of PRACH time instances is proposed</w:t>
      </w:r>
    </w:p>
    <w:p w14:paraId="5E8E27C2" w14:textId="4A8A6684" w:rsidR="00075AC6" w:rsidRPr="003057AD"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 xml:space="preserve">Section 3, using GC-PDCCH carrying COT structure information to dynamically disable/enable/indicate </w:t>
      </w:r>
      <w:r w:rsidR="00060D18">
        <w:rPr>
          <w:rFonts w:ascii="Times New Roman" w:hAnsi="Times New Roman"/>
        </w:rPr>
        <w:t>paging monitoring instances</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51A91FE1" w14:textId="77777777" w:rsidR="007067DE" w:rsidRDefault="007067DE" w:rsidP="007067DE">
      <w:pPr>
        <w:pStyle w:val="2"/>
      </w:pPr>
      <w:r>
        <w:t>PRACH resource configuration in a wideband carrier</w:t>
      </w:r>
    </w:p>
    <w:p w14:paraId="29EE5719" w14:textId="05C7FB1B" w:rsidR="00430DB3"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in a wideband carrier with a bandwidth larger than 20MHz, multiple PRACH resources can be configured across multiple LBT sub-bands in the carrier for both contention-free and contention-based random access.</w:t>
      </w:r>
    </w:p>
    <w:p w14:paraId="2EF45B23" w14:textId="77777777" w:rsidR="00430DB3" w:rsidRDefault="00430DB3" w:rsidP="007067DE">
      <w:pPr>
        <w:tabs>
          <w:tab w:val="left" w:pos="0"/>
        </w:tabs>
        <w:spacing w:after="0"/>
        <w:rPr>
          <w:rFonts w:ascii="Times New Roman" w:hAnsi="Times New Roman"/>
          <w:lang w:eastAsia="ja-JP"/>
        </w:rPr>
      </w:pPr>
    </w:p>
    <w:p w14:paraId="6038EC1A" w14:textId="0CB529EE" w:rsidR="007067DE" w:rsidRDefault="005F03E5" w:rsidP="007067DE">
      <w:pPr>
        <w:tabs>
          <w:tab w:val="left" w:pos="0"/>
        </w:tabs>
        <w:spacing w:after="0"/>
        <w:rPr>
          <w:rFonts w:ascii="Times New Roman" w:hAnsi="Times New Roman"/>
          <w:lang w:eastAsia="ja-JP"/>
        </w:rPr>
      </w:pPr>
      <w:r>
        <w:rPr>
          <w:rFonts w:ascii="Times New Roman" w:hAnsi="Times New Roman"/>
          <w:lang w:eastAsia="ja-JP"/>
        </w:rPr>
        <w:t>T</w:t>
      </w:r>
      <w:r w:rsidR="007067DE" w:rsidRPr="00A7515E">
        <w:rPr>
          <w:rFonts w:ascii="Times New Roman" w:hAnsi="Times New Roman"/>
          <w:lang w:eastAsia="ja-JP"/>
        </w:rPr>
        <w:t xml:space="preserve">his option </w:t>
      </w:r>
      <w:r w:rsidR="005E1E46">
        <w:rPr>
          <w:rFonts w:ascii="Times New Roman" w:hAnsi="Times New Roman"/>
          <w:lang w:eastAsia="ja-JP"/>
        </w:rPr>
        <w:t xml:space="preserve">1a </w:t>
      </w:r>
      <w:r w:rsidR="007067DE" w:rsidRPr="00A7515E">
        <w:rPr>
          <w:rFonts w:ascii="Times New Roman" w:hAnsi="Times New Roman"/>
          <w:lang w:eastAsia="ja-JP"/>
        </w:rPr>
        <w:t>offers more transmission opportunities for PRACH against LBT failures.</w:t>
      </w:r>
      <w:r w:rsidR="000C35BF">
        <w:rPr>
          <w:rFonts w:ascii="Times New Roman" w:hAnsi="Times New Roman"/>
          <w:lang w:eastAsia="ja-JP"/>
        </w:rPr>
        <w:t xml:space="preserve"> </w:t>
      </w:r>
      <w:r w:rsidR="001D1CF4">
        <w:rPr>
          <w:rFonts w:ascii="Times New Roman" w:hAnsi="Times New Roman"/>
          <w:lang w:eastAsia="ja-JP"/>
        </w:rPr>
        <w:t>In other words</w:t>
      </w:r>
      <w:r w:rsidR="00430DB3">
        <w:rPr>
          <w:rFonts w:ascii="Times New Roman" w:hAnsi="Times New Roman"/>
          <w:lang w:eastAsia="ja-JP"/>
        </w:rPr>
        <w:t xml:space="preserve">, we assume that multiple 20 MHz </w:t>
      </w:r>
      <w:r w:rsidR="001D1CF4">
        <w:rPr>
          <w:rFonts w:ascii="Times New Roman" w:hAnsi="Times New Roman"/>
          <w:lang w:eastAsia="ja-JP"/>
        </w:rPr>
        <w:t xml:space="preserve">UL </w:t>
      </w:r>
      <w:r w:rsidR="00430DB3">
        <w:rPr>
          <w:rFonts w:ascii="Times New Roman" w:hAnsi="Times New Roman"/>
          <w:lang w:eastAsia="ja-JP"/>
        </w:rPr>
        <w:t>BWP can be configure</w:t>
      </w:r>
      <w:r w:rsidR="001D1CF4">
        <w:rPr>
          <w:rFonts w:ascii="Times New Roman" w:hAnsi="Times New Roman"/>
          <w:lang w:eastAsia="ja-JP"/>
        </w:rPr>
        <w:t>d</w:t>
      </w:r>
      <w:r w:rsidR="00430DB3">
        <w:rPr>
          <w:rFonts w:ascii="Times New Roman" w:hAnsi="Times New Roman"/>
          <w:lang w:eastAsia="ja-JP"/>
        </w:rPr>
        <w:t xml:space="preserve"> for wideband operation, a</w:t>
      </w:r>
      <w:r w:rsidR="001D1CF4">
        <w:rPr>
          <w:rFonts w:ascii="Times New Roman" w:hAnsi="Times New Roman"/>
          <w:lang w:eastAsia="ja-JP"/>
        </w:rPr>
        <w:t xml:space="preserve">nd one BWP is selected as the initial active BWP </w:t>
      </w:r>
      <w:r w:rsidR="00430DB3">
        <w:rPr>
          <w:rFonts w:ascii="Times New Roman" w:hAnsi="Times New Roman"/>
          <w:lang w:eastAsia="ja-JP"/>
        </w:rPr>
        <w:t xml:space="preserve">after LBT. </w:t>
      </w:r>
      <w:r w:rsidR="005E1E46">
        <w:rPr>
          <w:rFonts w:ascii="Times New Roman" w:hAnsi="Times New Roman"/>
          <w:lang w:eastAsia="ja-JP"/>
        </w:rPr>
        <w:t xml:space="preserve">If Option 1a is supported, RO is available for </w:t>
      </w:r>
      <w:r w:rsidR="00994553">
        <w:rPr>
          <w:rFonts w:ascii="Times New Roman" w:hAnsi="Times New Roman"/>
          <w:lang w:eastAsia="ja-JP"/>
        </w:rPr>
        <w:t xml:space="preserve">the </w:t>
      </w:r>
      <w:r w:rsidR="005E1E46">
        <w:rPr>
          <w:rFonts w:ascii="Times New Roman" w:hAnsi="Times New Roman"/>
          <w:lang w:eastAsia="ja-JP"/>
        </w:rPr>
        <w:t>UE whichever</w:t>
      </w:r>
      <w:r w:rsidR="00994553">
        <w:rPr>
          <w:rFonts w:ascii="Times New Roman" w:hAnsi="Times New Roman"/>
          <w:lang w:eastAsia="ja-JP"/>
        </w:rPr>
        <w:t xml:space="preserve"> BWP is activated</w:t>
      </w:r>
      <w:r w:rsidR="005E1E46">
        <w:rPr>
          <w:rFonts w:ascii="Times New Roman" w:hAnsi="Times New Roman"/>
          <w:lang w:eastAsia="ja-JP"/>
        </w:rPr>
        <w:t xml:space="preserve">. </w:t>
      </w:r>
      <w:r w:rsidR="000C35BF">
        <w:rPr>
          <w:rFonts w:ascii="Times New Roman" w:hAnsi="Times New Roman"/>
          <w:lang w:eastAsia="ja-JP"/>
        </w:rPr>
        <w:t xml:space="preserve">Therefore, we </w:t>
      </w:r>
      <w:r w:rsidR="009031C6">
        <w:rPr>
          <w:rFonts w:ascii="Times New Roman" w:hAnsi="Times New Roman"/>
          <w:lang w:eastAsia="ja-JP"/>
        </w:rPr>
        <w:t xml:space="preserve">propose to </w:t>
      </w:r>
      <w:r w:rsidR="000C35BF">
        <w:rPr>
          <w:rFonts w:ascii="Times New Roman" w:hAnsi="Times New Roman"/>
          <w:lang w:eastAsia="ja-JP"/>
        </w:rPr>
        <w:t>support this option.</w:t>
      </w:r>
      <w:r w:rsidR="007067DE" w:rsidRPr="00A7515E">
        <w:rPr>
          <w:rFonts w:ascii="Times New Roman" w:hAnsi="Times New Roman"/>
          <w:lang w:eastAsia="ja-JP"/>
        </w:rPr>
        <w:t xml:space="preserve"> </w:t>
      </w:r>
    </w:p>
    <w:p w14:paraId="29FE8D62" w14:textId="2582AA9E" w:rsidR="004A43B4" w:rsidRDefault="004A43B4" w:rsidP="007067DE">
      <w:pPr>
        <w:tabs>
          <w:tab w:val="left" w:pos="0"/>
        </w:tabs>
        <w:spacing w:after="0"/>
        <w:rPr>
          <w:rFonts w:ascii="Times New Roman" w:hAnsi="Times New Roman"/>
          <w:lang w:eastAsia="ja-JP"/>
        </w:rPr>
      </w:pPr>
    </w:p>
    <w:p w14:paraId="1EE41B5E" w14:textId="48F46586" w:rsidR="004A43B4" w:rsidRPr="00B3295F" w:rsidRDefault="004A43B4" w:rsidP="004A43B4">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1</w:t>
      </w:r>
      <w:r w:rsidRPr="00B3295F">
        <w:rPr>
          <w:rFonts w:ascii="Times New Roman" w:hAnsi="Times New Roman"/>
          <w:b/>
          <w:bCs/>
          <w:i/>
          <w:iCs/>
        </w:rPr>
        <w:t xml:space="preserve">: Option </w:t>
      </w:r>
      <w:r>
        <w:rPr>
          <w:rFonts w:ascii="Times New Roman" w:hAnsi="Times New Roman"/>
          <w:b/>
          <w:bCs/>
          <w:i/>
          <w:iCs/>
        </w:rPr>
        <w:t>1</w:t>
      </w:r>
      <w:r w:rsidRPr="00B3295F">
        <w:rPr>
          <w:rFonts w:ascii="Times New Roman" w:hAnsi="Times New Roman"/>
          <w:b/>
          <w:bCs/>
          <w:i/>
          <w:iCs/>
        </w:rPr>
        <w:t xml:space="preserve">a </w:t>
      </w:r>
      <w:r>
        <w:rPr>
          <w:rFonts w:ascii="Times New Roman" w:hAnsi="Times New Roman"/>
          <w:b/>
          <w:bCs/>
          <w:i/>
          <w:iCs/>
        </w:rPr>
        <w:t xml:space="preserve">is </w:t>
      </w:r>
      <w:r w:rsidRPr="00B3295F">
        <w:rPr>
          <w:rFonts w:ascii="Times New Roman" w:hAnsi="Times New Roman"/>
          <w:b/>
          <w:bCs/>
          <w:i/>
          <w:iCs/>
        </w:rPr>
        <w:t>supported in NR-U</w:t>
      </w:r>
      <w:r w:rsidRPr="00B3295F">
        <w:rPr>
          <w:rFonts w:ascii="Times New Roman" w:hAnsi="Times New Roman"/>
          <w:b/>
          <w:i/>
          <w:iCs/>
        </w:rPr>
        <w:t>.</w:t>
      </w:r>
    </w:p>
    <w:p w14:paraId="182E9ABF" w14:textId="7E9B2AF2" w:rsidR="007067DE" w:rsidRDefault="000C35BF" w:rsidP="00B9703C">
      <w:pPr>
        <w:spacing w:after="0"/>
        <w:rPr>
          <w:rFonts w:ascii="Times New Roman" w:hAnsi="Times New Roman"/>
          <w:lang w:val="en-US" w:eastAsia="ja-JP"/>
        </w:rPr>
      </w:pPr>
      <w:bookmarkStart w:id="1" w:name="_Hlk508280483"/>
      <w:r w:rsidRPr="00A7515E">
        <w:rPr>
          <w:rFonts w:ascii="Times New Roman" w:hAnsi="Times New Roman"/>
          <w:lang w:eastAsia="ja-JP"/>
        </w:rPr>
        <w:t xml:space="preserve">It deserves to be addressed how PRACH resources are configured across multiple LBT sub-bands in a wideband carrier. </w:t>
      </w:r>
      <w:r w:rsidR="007067DE" w:rsidRPr="00A7515E">
        <w:rPr>
          <w:rFonts w:ascii="Times New Roman" w:hAnsi="Times New Roman"/>
          <w:lang w:val="en-US" w:eastAsia="ja-JP"/>
        </w:rPr>
        <w:t xml:space="preserve">For the NR licensed band PRACH resource configuration, PRACH resources </w:t>
      </w:r>
      <w:r w:rsidR="007067DE"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007067DE" w:rsidRPr="00A7515E">
        <w:rPr>
          <w:rFonts w:ascii="Times New Roman" w:hAnsi="Times New Roman"/>
          <w:i/>
          <w:iCs/>
          <w:lang w:eastAsia="ja-JP"/>
        </w:rPr>
        <w:t>msg1-FrequencyStart</w:t>
      </w:r>
      <w:r w:rsidR="007067DE" w:rsidRPr="00A7515E">
        <w:rPr>
          <w:rFonts w:ascii="Times New Roman" w:hAnsi="Times New Roman"/>
          <w:lang w:eastAsia="ja-JP"/>
        </w:rPr>
        <w:t xml:space="preserve"> and the number of PRACH frequency resources is specified by the higher-layer parameter </w:t>
      </w:r>
      <w:r w:rsidR="007067DE" w:rsidRPr="00A7515E">
        <w:rPr>
          <w:rFonts w:ascii="Times New Roman" w:hAnsi="Times New Roman"/>
          <w:i/>
          <w:iCs/>
          <w:lang w:eastAsia="ja-JP"/>
        </w:rPr>
        <w:t>msg1-FDM</w:t>
      </w:r>
      <w:r w:rsidR="007067DE" w:rsidRPr="00A7515E">
        <w:rPr>
          <w:rFonts w:ascii="Times New Roman" w:hAnsi="Times New Roman"/>
          <w:lang w:eastAsia="ja-JP"/>
        </w:rPr>
        <w:t xml:space="preserve">. </w:t>
      </w:r>
      <w:bookmarkEnd w:id="1"/>
      <w:r w:rsidR="007067DE" w:rsidRPr="00A7515E">
        <w:rPr>
          <w:rFonts w:ascii="Times New Roman" w:hAnsi="Times New Roman"/>
          <w:lang w:eastAsia="ja-JP"/>
        </w:rPr>
        <w:t xml:space="preserve">If </w:t>
      </w:r>
      <w:r w:rsidR="005F03E5">
        <w:rPr>
          <w:rFonts w:ascii="Times New Roman" w:hAnsi="Times New Roman"/>
          <w:lang w:val="en-US" w:eastAsia="ja-JP"/>
        </w:rPr>
        <w:t>these designs are</w:t>
      </w:r>
      <w:r w:rsidR="007067DE"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007067DE"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21CB8C90" w14:textId="77777777" w:rsidR="00B9703C" w:rsidRPr="00A7515E" w:rsidRDefault="00B9703C" w:rsidP="00B9703C">
      <w:pPr>
        <w:spacing w:after="0"/>
        <w:rPr>
          <w:rFonts w:ascii="Times New Roman" w:hAnsi="Times New Roman"/>
          <w:lang w:val="en-US" w:eastAsia="ja-JP"/>
        </w:rPr>
      </w:pP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lastRenderedPageBreak/>
        <w:drawing>
          <wp:inline distT="0" distB="0" distL="0" distR="0" wp14:anchorId="21D65AC6" wp14:editId="27F05FBC">
            <wp:extent cx="3389630" cy="29157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007" cy="29298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2"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7956A401" w14:textId="3CA47840" w:rsidR="00F82899" w:rsidRDefault="007067DE" w:rsidP="00B9703C">
      <w:pPr>
        <w:spacing w:after="0"/>
        <w:rPr>
          <w:rFonts w:ascii="Times New Roman" w:hAnsi="Times New Roman"/>
          <w:lang w:val="en-US" w:eastAsia="ja-JP"/>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In this case, no any PRACH resources are allocated across two adjacent sub-bands and thus the availability of PRACH resource in a sub-band is not affected by the LBT outcome in another sub-band.</w:t>
      </w:r>
    </w:p>
    <w:p w14:paraId="0CA6112F" w14:textId="77777777" w:rsidR="00B9703C" w:rsidRDefault="00B9703C" w:rsidP="00B9703C">
      <w:pPr>
        <w:spacing w:after="0"/>
        <w:rPr>
          <w:rFonts w:ascii="Times New Roman" w:hAnsi="Times New Roman"/>
          <w:lang w:val="en-US" w:eastAsia="ja-JP"/>
        </w:rPr>
      </w:pPr>
    </w:p>
    <w:p w14:paraId="31E88176" w14:textId="59EDFB0F" w:rsidR="001715B0" w:rsidRDefault="001715B0" w:rsidP="00B9703C">
      <w:pPr>
        <w:spacing w:after="0"/>
        <w:rPr>
          <w:rFonts w:ascii="Times New Roman" w:hAnsi="Times New Roman"/>
        </w:rPr>
      </w:pPr>
      <w:r>
        <w:rPr>
          <w:rFonts w:ascii="Times New Roman" w:hAnsi="Times New Roman" w:hint="eastAsia"/>
          <w:lang w:val="en-US" w:eastAsia="ja-JP"/>
        </w:rPr>
        <w:t>W</w:t>
      </w:r>
      <w:r>
        <w:rPr>
          <w:rFonts w:ascii="Times New Roman" w:hAnsi="Times New Roman"/>
        </w:rPr>
        <w:t xml:space="preserve">e </w:t>
      </w:r>
      <w:r w:rsidR="00430DB3">
        <w:rPr>
          <w:rFonts w:ascii="Times New Roman" w:hAnsi="Times New Roman"/>
        </w:rPr>
        <w:t>assume one</w:t>
      </w:r>
      <w:r>
        <w:rPr>
          <w:rFonts w:ascii="Times New Roman" w:hAnsi="Times New Roman"/>
        </w:rPr>
        <w:t xml:space="preserve"> PRACH resource </w:t>
      </w:r>
      <w:r w:rsidRPr="001715B0">
        <w:rPr>
          <w:rFonts w:ascii="Times New Roman" w:hAnsi="Times New Roman"/>
        </w:rPr>
        <w:t xml:space="preserve">configuration </w:t>
      </w:r>
      <w:r>
        <w:rPr>
          <w:rFonts w:ascii="Times New Roman" w:hAnsi="Times New Roman"/>
        </w:rPr>
        <w:t xml:space="preserve">such as the Rel-15 </w:t>
      </w:r>
      <w:r w:rsidR="00430DB3">
        <w:rPr>
          <w:rFonts w:ascii="Times New Roman" w:hAnsi="Times New Roman"/>
        </w:rPr>
        <w:t>can be</w:t>
      </w:r>
      <w:r w:rsidRPr="001715B0">
        <w:rPr>
          <w:rFonts w:ascii="Times New Roman" w:hAnsi="Times New Roman"/>
        </w:rPr>
        <w:t xml:space="preserve"> defined per sub-band</w:t>
      </w:r>
      <w:r>
        <w:rPr>
          <w:rFonts w:ascii="Times New Roman" w:hAnsi="Times New Roman"/>
        </w:rPr>
        <w:t>,</w:t>
      </w:r>
      <w:r w:rsidRPr="001715B0">
        <w:rPr>
          <w:rFonts w:ascii="Times New Roman" w:hAnsi="Times New Roman"/>
        </w:rPr>
        <w:t xml:space="preserve"> and</w:t>
      </w:r>
      <w:r>
        <w:rPr>
          <w:rFonts w:ascii="Times New Roman" w:hAnsi="Times New Roman"/>
        </w:rPr>
        <w:t xml:space="preserve"> it can be </w:t>
      </w:r>
      <w:r w:rsidRPr="001715B0">
        <w:rPr>
          <w:rFonts w:ascii="Times New Roman" w:hAnsi="Times New Roman"/>
        </w:rPr>
        <w:t>re</w:t>
      </w:r>
      <w:r w:rsidR="00430DB3">
        <w:rPr>
          <w:rFonts w:ascii="Times New Roman" w:hAnsi="Times New Roman"/>
        </w:rPr>
        <w:t>us</w:t>
      </w:r>
      <w:r w:rsidRPr="001715B0">
        <w:rPr>
          <w:rFonts w:ascii="Times New Roman" w:hAnsi="Times New Roman"/>
        </w:rPr>
        <w:t>ed</w:t>
      </w:r>
      <w:r>
        <w:rPr>
          <w:rFonts w:ascii="Times New Roman" w:hAnsi="Times New Roman"/>
        </w:rPr>
        <w:t xml:space="preserve"> across the multiple sub-bands. That’s why we</w:t>
      </w:r>
      <w:r w:rsidRPr="001715B0">
        <w:rPr>
          <w:rFonts w:ascii="Times New Roman" w:hAnsi="Times New Roman"/>
        </w:rPr>
        <w:t xml:space="preserve"> don’t think the </w:t>
      </w:r>
      <w:r>
        <w:rPr>
          <w:rFonts w:ascii="Times New Roman" w:hAnsi="Times New Roman"/>
        </w:rPr>
        <w:t xml:space="preserve">spec </w:t>
      </w:r>
      <w:r w:rsidRPr="001715B0">
        <w:rPr>
          <w:rFonts w:ascii="Times New Roman" w:hAnsi="Times New Roman"/>
        </w:rPr>
        <w:t xml:space="preserve">impact </w:t>
      </w:r>
      <w:r>
        <w:rPr>
          <w:rFonts w:ascii="Times New Roman" w:hAnsi="Times New Roman"/>
        </w:rPr>
        <w:t xml:space="preserve">to SIB by this enhancement </w:t>
      </w:r>
      <w:r w:rsidRPr="001715B0">
        <w:rPr>
          <w:rFonts w:ascii="Times New Roman" w:hAnsi="Times New Roman"/>
        </w:rPr>
        <w:t>is so significant.</w:t>
      </w:r>
    </w:p>
    <w:p w14:paraId="19C55720" w14:textId="77777777" w:rsidR="00B9703C" w:rsidRPr="00A7515E" w:rsidRDefault="00B9703C" w:rsidP="00B9703C">
      <w:pPr>
        <w:spacing w:after="0"/>
        <w:rPr>
          <w:rFonts w:ascii="Times New Roman" w:hAnsi="Times New Roman"/>
        </w:rPr>
      </w:pPr>
    </w:p>
    <w:p w14:paraId="4BF191A6" w14:textId="6967BA1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4A43B4">
        <w:rPr>
          <w:rFonts w:ascii="Times New Roman" w:hAnsi="Times New Roman"/>
          <w:b/>
          <w:bCs/>
          <w:i/>
          <w:iCs/>
          <w:u w:val="single"/>
        </w:rPr>
        <w:t>2</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drawing>
          <wp:inline distT="0" distB="0" distL="0" distR="0" wp14:anchorId="3E6D3105" wp14:editId="56EE1F78">
            <wp:extent cx="3645535" cy="3053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0212" cy="3057669"/>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3"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28693FBB"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w:t>
      </w:r>
      <w:r w:rsidR="003D35FC">
        <w:rPr>
          <w:rFonts w:ascii="Times New Roman" w:hAnsi="Times New Roman"/>
          <w:lang w:eastAsia="ja-JP"/>
        </w:rPr>
        <w:t>This option</w:t>
      </w:r>
      <w:r w:rsidRPr="00A7515E">
        <w:rPr>
          <w:rFonts w:ascii="Times New Roman" w:hAnsi="Times New Roman"/>
          <w:lang w:eastAsia="ja-JP"/>
        </w:rPr>
        <w:t xml:space="preserve"> mean</w:t>
      </w:r>
      <w:r w:rsidR="003D35FC">
        <w:rPr>
          <w:rFonts w:ascii="Times New Roman" w:hAnsi="Times New Roman"/>
          <w:lang w:eastAsia="ja-JP"/>
        </w:rPr>
        <w:t>s</w:t>
      </w:r>
      <w:r w:rsidRPr="00A7515E">
        <w:rPr>
          <w:rFonts w:ascii="Times New Roman" w:hAnsi="Times New Roman"/>
          <w:lang w:eastAsia="ja-JP"/>
        </w:rPr>
        <w:t xml:space="preserve"> PRACH is sent in gNB obtained COT and are beneficial for reducing </w:t>
      </w:r>
      <w:r w:rsidRPr="00A7515E">
        <w:rPr>
          <w:rFonts w:ascii="Times New Roman" w:hAnsi="Times New Roman"/>
          <w:lang w:eastAsia="ja-JP"/>
        </w:rPr>
        <w:lastRenderedPageBreak/>
        <w:t xml:space="preserve">RACH access delay since connected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68BEB1B0" w14:textId="76B39516" w:rsidR="00042E47" w:rsidRDefault="00042E47" w:rsidP="007067DE">
      <w:pPr>
        <w:tabs>
          <w:tab w:val="left" w:pos="0"/>
        </w:tabs>
        <w:spacing w:after="0"/>
        <w:rPr>
          <w:rFonts w:ascii="Times New Roman" w:hAnsi="Times New Roman"/>
          <w:lang w:eastAsia="ja-JP"/>
        </w:rPr>
      </w:pPr>
    </w:p>
    <w:p w14:paraId="626B5943" w14:textId="77D40A8D" w:rsidR="00042E47" w:rsidRDefault="00042E47" w:rsidP="007067DE">
      <w:pPr>
        <w:tabs>
          <w:tab w:val="left" w:pos="0"/>
        </w:tabs>
        <w:spacing w:after="0"/>
        <w:rPr>
          <w:rFonts w:ascii="Times New Roman" w:hAnsi="Times New Roman"/>
          <w:lang w:eastAsia="ja-JP"/>
        </w:rPr>
      </w:pPr>
      <w:r>
        <w:rPr>
          <w:rFonts w:ascii="Times New Roman" w:hAnsi="Times New Roman"/>
          <w:lang w:eastAsia="ja-JP"/>
        </w:rPr>
        <w:t xml:space="preserve">Since the connected mode UE is expected to monitor GC-PDCCH carrying COT structure information such as DL/UL/Flexible symbol assignment, the same GC-PDCCH can also carry the indication for PRACH time instances. Actually, UE can interpret the indicated UL symbols as PRACH time instances and Flexible symbols as resources for configured grant transmission, if no UL grant is received by the UE to use those UL or Flexible symbols (for Flexible symbols UE also needs to make sure no DL scheduling assignment is received by the UE </w:t>
      </w:r>
      <w:r w:rsidR="004C4880">
        <w:rPr>
          <w:rFonts w:ascii="Times New Roman" w:hAnsi="Times New Roman"/>
          <w:lang w:eastAsia="ja-JP"/>
        </w:rPr>
        <w:t>to receive DL over</w:t>
      </w:r>
      <w:r>
        <w:rPr>
          <w:rFonts w:ascii="Times New Roman" w:hAnsi="Times New Roman"/>
          <w:lang w:eastAsia="ja-JP"/>
        </w:rPr>
        <w:t xml:space="preserve"> those symbols</w:t>
      </w:r>
      <w:r w:rsidR="004C4880">
        <w:rPr>
          <w:rFonts w:ascii="Times New Roman" w:hAnsi="Times New Roman"/>
          <w:lang w:eastAsia="ja-JP"/>
        </w:rPr>
        <w:t>).</w:t>
      </w:r>
    </w:p>
    <w:p w14:paraId="23F5D4E0" w14:textId="28F45465" w:rsidR="003D35FC" w:rsidRDefault="003D35FC" w:rsidP="007067DE">
      <w:pPr>
        <w:tabs>
          <w:tab w:val="left" w:pos="0"/>
        </w:tabs>
        <w:spacing w:after="0"/>
        <w:rPr>
          <w:rFonts w:ascii="Times New Roman" w:hAnsi="Times New Roman"/>
          <w:lang w:eastAsia="ja-JP"/>
        </w:rPr>
      </w:pPr>
    </w:p>
    <w:p w14:paraId="405667F4" w14:textId="0D97255F" w:rsidR="003D35FC" w:rsidRDefault="003D35FC"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2b </w:t>
      </w:r>
      <w:r>
        <w:rPr>
          <w:rFonts w:ascii="Times New Roman" w:hAnsi="Times New Roman"/>
          <w:lang w:eastAsia="ja-JP"/>
        </w:rPr>
        <w:t xml:space="preserve">in RAN1#94bis </w:t>
      </w:r>
      <w:r w:rsidRPr="00A7515E">
        <w:rPr>
          <w:rFonts w:ascii="Times New Roman" w:hAnsi="Times New Roman"/>
          <w:lang w:eastAsia="ja-JP"/>
        </w:rPr>
        <w:t>agreement</w:t>
      </w:r>
      <w:r>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paging for idle mode UE. </w:t>
      </w:r>
      <w:r>
        <w:rPr>
          <w:rFonts w:ascii="Times New Roman" w:hAnsi="Times New Roman"/>
          <w:lang w:eastAsia="ja-JP"/>
        </w:rPr>
        <w:t xml:space="preserve">Since </w:t>
      </w:r>
      <w:r w:rsidR="008F3E6C">
        <w:rPr>
          <w:rFonts w:ascii="Times New Roman" w:hAnsi="Times New Roman"/>
          <w:lang w:eastAsia="ja-JP"/>
        </w:rPr>
        <w:t xml:space="preserve">we don’t understand </w:t>
      </w:r>
      <w:r w:rsidRPr="003D35FC">
        <w:rPr>
          <w:rFonts w:ascii="Times New Roman" w:hAnsi="Times New Roman"/>
          <w:lang w:eastAsia="ja-JP"/>
        </w:rPr>
        <w:t xml:space="preserve">what would be benefit from option 2b compared to regular RMSI based RACH resource allocation </w:t>
      </w:r>
      <w:r>
        <w:rPr>
          <w:rFonts w:ascii="Times New Roman" w:hAnsi="Times New Roman"/>
          <w:lang w:eastAsia="ja-JP"/>
        </w:rPr>
        <w:t>for</w:t>
      </w:r>
      <w:r w:rsidRPr="003D35FC">
        <w:rPr>
          <w:rFonts w:ascii="Times New Roman" w:hAnsi="Times New Roman"/>
          <w:lang w:eastAsia="ja-JP"/>
        </w:rPr>
        <w:t xml:space="preserve"> idle mode</w:t>
      </w:r>
      <w:r>
        <w:rPr>
          <w:rFonts w:ascii="Times New Roman" w:hAnsi="Times New Roman"/>
          <w:lang w:eastAsia="ja-JP"/>
        </w:rPr>
        <w:t xml:space="preserve"> UEs, </w:t>
      </w:r>
      <w:r w:rsidRPr="003D35FC">
        <w:rPr>
          <w:rFonts w:ascii="Times New Roman" w:hAnsi="Times New Roman"/>
          <w:lang w:eastAsia="ja-JP"/>
        </w:rPr>
        <w:t>we propose not to support option 2</w:t>
      </w:r>
      <w:r>
        <w:rPr>
          <w:rFonts w:ascii="Times New Roman" w:hAnsi="Times New Roman"/>
          <w:lang w:eastAsia="ja-JP"/>
        </w:rPr>
        <w:t>b</w:t>
      </w:r>
      <w:r w:rsidRPr="003D35FC">
        <w:rPr>
          <w:rFonts w:ascii="Times New Roman" w:hAnsi="Times New Roman"/>
          <w:lang w:eastAsia="ja-JP"/>
        </w:rPr>
        <w:t>.</w:t>
      </w:r>
    </w:p>
    <w:p w14:paraId="7A816854" w14:textId="518C4EE8" w:rsidR="00BC171E" w:rsidRDefault="00BC171E" w:rsidP="007067DE">
      <w:pPr>
        <w:tabs>
          <w:tab w:val="left" w:pos="0"/>
        </w:tabs>
        <w:spacing w:after="0"/>
        <w:rPr>
          <w:rFonts w:ascii="Times New Roman" w:hAnsi="Times New Roman"/>
          <w:lang w:eastAsia="ja-JP"/>
        </w:rPr>
      </w:pPr>
    </w:p>
    <w:p w14:paraId="0EBC05CF" w14:textId="559AE937" w:rsidR="00BC171E" w:rsidRPr="00A7515E" w:rsidRDefault="00BC171E" w:rsidP="007067DE">
      <w:pPr>
        <w:tabs>
          <w:tab w:val="left" w:pos="0"/>
        </w:tabs>
        <w:spacing w:after="0"/>
        <w:rPr>
          <w:rFonts w:ascii="Times New Roman" w:hAnsi="Times New Roman"/>
          <w:lang w:eastAsia="ja-JP"/>
        </w:rPr>
      </w:pPr>
      <w:r>
        <w:rPr>
          <w:rFonts w:ascii="Times New Roman" w:hAnsi="Times New Roman"/>
          <w:lang w:eastAsia="ja-JP"/>
        </w:rPr>
        <w:t xml:space="preserve">On the other hand, similar to indication used for connected mode UE, the idle/inactive mode UE can also rely on the COT structure information to derive the dynamic PRACH time instances. The monitoring of GC-PDCCH carrying COT structure information can be configured to idle/inactive mode UE via RMSI. Once idle/inactive UE receives GC-PDCCH carry COT information, it interprets the indicated UL symbols as PRACH time instances. In order to reduce the unnecessary wake-up time for idle/inactive UE, the GC-PDCCH monitoring can be configured within the DRS transmission window, where idle/inactive UE is likely to wake-up anyway to maintain the DL synchronization.  </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479A98AC"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PRACH resources can be configured right after DRS transmission. This option is also beneficial for reducing RACH access delay since the number of LBTs performed by UEs for PRACH transmission can be reduced. The merit</w:t>
      </w:r>
      <w:r w:rsidR="00F00D48">
        <w:rPr>
          <w:rFonts w:ascii="Times New Roman" w:hAnsi="Times New Roman"/>
          <w:lang w:eastAsia="ja-JP"/>
        </w:rPr>
        <w:t>s</w:t>
      </w:r>
      <w:r w:rsidRPr="00A7515E">
        <w:rPr>
          <w:rFonts w:ascii="Times New Roman" w:hAnsi="Times New Roman"/>
          <w:lang w:eastAsia="ja-JP"/>
        </w:rPr>
        <w:t xml:space="preserve"> obtained </w:t>
      </w:r>
      <w:r w:rsidR="00F00D48">
        <w:rPr>
          <w:rFonts w:ascii="Times New Roman" w:hAnsi="Times New Roman"/>
          <w:lang w:eastAsia="ja-JP"/>
        </w:rPr>
        <w:t xml:space="preserve">from </w:t>
      </w:r>
      <w:r w:rsidRPr="00A7515E">
        <w:rPr>
          <w:rFonts w:ascii="Times New Roman" w:hAnsi="Times New Roman"/>
          <w:lang w:eastAsia="ja-JP"/>
        </w:rPr>
        <w:t xml:space="preserve">option 2a are equally available in this option. </w:t>
      </w:r>
      <w:r w:rsidR="00C50C05">
        <w:rPr>
          <w:rFonts w:ascii="Times New Roman" w:hAnsi="Times New Roman"/>
          <w:lang w:eastAsia="ja-JP"/>
        </w:rPr>
        <w:t>Similarly, the indication of PRACH time instances which are after DRS transmission but share the same COT with DRS can be also done via GC-PDCCH carrying COT structure information.</w:t>
      </w:r>
    </w:p>
    <w:p w14:paraId="75CF8BDB" w14:textId="36354BE4" w:rsidR="00985D49" w:rsidRDefault="00985D49" w:rsidP="007067DE">
      <w:pPr>
        <w:tabs>
          <w:tab w:val="left" w:pos="0"/>
        </w:tabs>
        <w:spacing w:after="0"/>
        <w:rPr>
          <w:rFonts w:ascii="Times New Roman" w:hAnsi="Times New Roman"/>
          <w:lang w:eastAsia="ja-JP"/>
        </w:rPr>
      </w:pPr>
    </w:p>
    <w:p w14:paraId="35AD4312" w14:textId="741B04FB" w:rsidR="00985D49" w:rsidRPr="00A7515E" w:rsidRDefault="00985D49" w:rsidP="007067DE">
      <w:pPr>
        <w:tabs>
          <w:tab w:val="left" w:pos="0"/>
        </w:tabs>
        <w:spacing w:after="0"/>
        <w:rPr>
          <w:rFonts w:ascii="Times New Roman" w:hAnsi="Times New Roman"/>
          <w:lang w:eastAsia="ja-JP"/>
        </w:rPr>
      </w:pPr>
      <w:r>
        <w:rPr>
          <w:rFonts w:ascii="Times New Roman" w:hAnsi="Times New Roman"/>
          <w:lang w:eastAsia="ja-JP"/>
        </w:rPr>
        <w:t>UE needs to perform LBT before transmitting PRACH over the indicated resources. However, if the PRACH time instances are inside gNB’s COT, UE should be informed the gap duration to perform the CCA, otherwise UE could end up measuring some part of gNB’s transmission which leads to LBT failure. Therefore, an appropriate gap duration for CCA should be indicated to the UE, such as cat-1 immediate transmission, 16-us cat-2, 25-us cat-2, or cat-4 LBT. Such indication can be transmitted within the same GC-PDCCH carrying COT structure with a separate bit</w:t>
      </w:r>
      <w:r w:rsidR="00A3600A">
        <w:rPr>
          <w:rFonts w:ascii="Times New Roman" w:hAnsi="Times New Roman"/>
          <w:lang w:eastAsia="ja-JP"/>
        </w:rPr>
        <w:t xml:space="preserve"> </w:t>
      </w:r>
      <w:r>
        <w:rPr>
          <w:rFonts w:ascii="Times New Roman" w:hAnsi="Times New Roman"/>
          <w:lang w:eastAsia="ja-JP"/>
        </w:rPr>
        <w:t>field.</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61235484" w14:textId="770D838F" w:rsidR="00075AC6" w:rsidRDefault="003057AD" w:rsidP="007067DE">
      <w:pPr>
        <w:spacing w:after="0"/>
        <w:jc w:val="both"/>
        <w:rPr>
          <w:rFonts w:ascii="Times New Roman" w:hAnsi="Times New Roman"/>
          <w:b/>
          <w:bCs/>
          <w:i/>
          <w:iCs/>
        </w:rPr>
      </w:pPr>
      <w:r>
        <w:rPr>
          <w:rFonts w:ascii="Times New Roman" w:hAnsi="Times New Roman"/>
          <w:b/>
          <w:bCs/>
          <w:i/>
          <w:iCs/>
          <w:u w:val="single"/>
        </w:rPr>
        <w:t xml:space="preserve">Proposal </w:t>
      </w:r>
      <w:r w:rsidR="00BC1EB5">
        <w:rPr>
          <w:rFonts w:ascii="Times New Roman" w:hAnsi="Times New Roman"/>
          <w:b/>
          <w:bCs/>
          <w:i/>
          <w:iCs/>
          <w:u w:val="single"/>
        </w:rPr>
        <w:t>3</w:t>
      </w:r>
      <w:r w:rsidR="007067DE" w:rsidRPr="00B3295F">
        <w:rPr>
          <w:rFonts w:ascii="Times New Roman" w:hAnsi="Times New Roman"/>
          <w:b/>
          <w:bCs/>
          <w:i/>
          <w:iCs/>
        </w:rPr>
        <w:t>: Option 2a and 2c are supported in NR-U.</w:t>
      </w:r>
    </w:p>
    <w:p w14:paraId="15289543" w14:textId="57640642" w:rsidR="007067DE" w:rsidRPr="00B3295F" w:rsidRDefault="003057AD" w:rsidP="007067DE">
      <w:pPr>
        <w:spacing w:after="0"/>
        <w:jc w:val="both"/>
        <w:rPr>
          <w:rFonts w:ascii="Times New Roman" w:hAnsi="Times New Roman"/>
          <w:b/>
          <w:i/>
          <w:iCs/>
        </w:rPr>
      </w:pPr>
      <w:r w:rsidRPr="003057AD">
        <w:rPr>
          <w:rFonts w:ascii="Times New Roman" w:hAnsi="Times New Roman"/>
          <w:b/>
          <w:bCs/>
          <w:i/>
          <w:iCs/>
          <w:u w:val="single"/>
        </w:rPr>
        <w:t xml:space="preserve">Proposal </w:t>
      </w:r>
      <w:r w:rsidR="00075AC6" w:rsidRPr="003057AD">
        <w:rPr>
          <w:rFonts w:ascii="Times New Roman" w:hAnsi="Times New Roman"/>
          <w:b/>
          <w:bCs/>
          <w:i/>
          <w:iCs/>
          <w:u w:val="single"/>
        </w:rPr>
        <w:t>4</w:t>
      </w:r>
      <w:r w:rsidR="00075AC6">
        <w:rPr>
          <w:rFonts w:ascii="Times New Roman" w:hAnsi="Times New Roman"/>
          <w:b/>
          <w:bCs/>
          <w:i/>
          <w:iCs/>
        </w:rPr>
        <w:t xml:space="preserve">: </w:t>
      </w:r>
      <w:r w:rsidR="00C50C05">
        <w:rPr>
          <w:rFonts w:ascii="Times New Roman" w:hAnsi="Times New Roman"/>
          <w:b/>
          <w:bCs/>
          <w:i/>
          <w:iCs/>
        </w:rPr>
        <w:t>GC-PDCCH carrying COT structure information is used for the dynamic indication of PRACH time instances</w:t>
      </w:r>
      <w:r>
        <w:rPr>
          <w:rFonts w:ascii="Times New Roman" w:hAnsi="Times New Roman"/>
          <w:b/>
          <w:bCs/>
          <w:i/>
          <w:iCs/>
        </w:rPr>
        <w:t>.</w:t>
      </w:r>
    </w:p>
    <w:p w14:paraId="50F2EA5B" w14:textId="77777777" w:rsidR="007067DE" w:rsidRPr="003057AD" w:rsidRDefault="007067DE" w:rsidP="007067DE">
      <w:pPr>
        <w:tabs>
          <w:tab w:val="left" w:pos="0"/>
        </w:tabs>
        <w:spacing w:after="0"/>
        <w:rPr>
          <w:rFonts w:ascii="Times New Roman" w:hAnsi="Times New Roman"/>
          <w:sz w:val="24"/>
          <w:lang w:eastAsia="ja-JP"/>
        </w:rPr>
      </w:pPr>
    </w:p>
    <w:p w14:paraId="121575AF" w14:textId="77777777" w:rsidR="007067DE" w:rsidRPr="002F4600" w:rsidRDefault="007067DE" w:rsidP="007067DE">
      <w:pPr>
        <w:pStyle w:val="2"/>
      </w:pPr>
      <w:r>
        <w:t>SSB-to-RO Mapping in a wideband carrier</w:t>
      </w:r>
    </w:p>
    <w:p w14:paraId="4353BF34" w14:textId="38568AD6" w:rsidR="00BC1EB5" w:rsidRDefault="007067DE" w:rsidP="00F82899">
      <w:pPr>
        <w:tabs>
          <w:tab w:val="left" w:pos="0"/>
        </w:tabs>
        <w:spacing w:after="0"/>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w:t>
      </w:r>
    </w:p>
    <w:p w14:paraId="6B190C61" w14:textId="77777777" w:rsidR="00F82899" w:rsidRDefault="00F82899" w:rsidP="00F82899">
      <w:pPr>
        <w:tabs>
          <w:tab w:val="left" w:pos="0"/>
        </w:tabs>
        <w:spacing w:after="0"/>
        <w:rPr>
          <w:rFonts w:ascii="Times New Roman" w:hAnsi="Times New Roman"/>
          <w:lang w:eastAsia="ja-JP"/>
        </w:rPr>
      </w:pPr>
    </w:p>
    <w:p w14:paraId="64D9D431" w14:textId="76D749BC" w:rsidR="00BC1EB5" w:rsidRPr="00B3295F" w:rsidRDefault="00BC1EB5" w:rsidP="00BC1EB5">
      <w:pPr>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5</w:t>
      </w:r>
      <w:r w:rsidRPr="00B3295F">
        <w:rPr>
          <w:rFonts w:ascii="Times New Roman" w:hAnsi="Times New Roman"/>
          <w:b/>
          <w:bCs/>
          <w:i/>
          <w:iCs/>
        </w:rPr>
        <w:t xml:space="preserve">: Option </w:t>
      </w:r>
      <w:r>
        <w:rPr>
          <w:rFonts w:ascii="Times New Roman" w:hAnsi="Times New Roman"/>
          <w:b/>
          <w:bCs/>
          <w:i/>
          <w:iCs/>
        </w:rPr>
        <w:t>2e</w:t>
      </w:r>
      <w:r w:rsidRPr="00B3295F">
        <w:rPr>
          <w:rFonts w:ascii="Times New Roman" w:hAnsi="Times New Roman"/>
          <w:b/>
          <w:bCs/>
          <w:i/>
          <w:iCs/>
        </w:rPr>
        <w:t xml:space="preserve"> </w:t>
      </w:r>
      <w:r>
        <w:rPr>
          <w:rFonts w:ascii="Times New Roman" w:hAnsi="Times New Roman"/>
          <w:b/>
          <w:bCs/>
          <w:i/>
          <w:iCs/>
        </w:rPr>
        <w:t xml:space="preserve">is </w:t>
      </w:r>
      <w:r w:rsidRPr="00B3295F">
        <w:rPr>
          <w:rFonts w:ascii="Times New Roman" w:hAnsi="Times New Roman"/>
          <w:b/>
          <w:bCs/>
          <w:i/>
          <w:iCs/>
        </w:rPr>
        <w:t xml:space="preserve">supported in </w:t>
      </w:r>
      <w:r w:rsidR="0057441B">
        <w:rPr>
          <w:rFonts w:ascii="Times New Roman" w:hAnsi="Times New Roman"/>
          <w:b/>
          <w:bCs/>
          <w:i/>
          <w:iCs/>
        </w:rPr>
        <w:t xml:space="preserve">a single </w:t>
      </w:r>
      <w:r w:rsidRPr="00B3295F">
        <w:rPr>
          <w:rFonts w:ascii="Times New Roman" w:hAnsi="Times New Roman"/>
          <w:b/>
          <w:bCs/>
          <w:i/>
          <w:iCs/>
        </w:rPr>
        <w:t>NR-U</w:t>
      </w:r>
      <w:r w:rsidR="0057441B">
        <w:rPr>
          <w:rFonts w:ascii="Times New Roman" w:hAnsi="Times New Roman"/>
          <w:b/>
          <w:bCs/>
          <w:i/>
          <w:iCs/>
        </w:rPr>
        <w:t xml:space="preserve"> carrier</w:t>
      </w:r>
      <w:r w:rsidRPr="00B3295F">
        <w:rPr>
          <w:rFonts w:ascii="Times New Roman" w:hAnsi="Times New Roman"/>
          <w:b/>
          <w:i/>
          <w:iCs/>
        </w:rPr>
        <w:t>.</w:t>
      </w:r>
    </w:p>
    <w:p w14:paraId="5C507F22" w14:textId="5616847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However, </w:t>
      </w:r>
      <w:r w:rsidR="00654C2E">
        <w:rPr>
          <w:rFonts w:ascii="Times New Roman" w:hAnsi="Times New Roman"/>
          <w:lang w:eastAsia="ja-JP"/>
        </w:rPr>
        <w:t>s</w:t>
      </w:r>
      <w:r w:rsidR="00654C2E" w:rsidRPr="00A7515E">
        <w:rPr>
          <w:rFonts w:ascii="Times New Roman" w:hAnsi="Times New Roman"/>
          <w:lang w:eastAsia="ja-JP"/>
        </w:rPr>
        <w:t>uch a group wise SSB-to-RO mapping</w:t>
      </w:r>
      <w:r w:rsidRPr="00A7515E">
        <w:rPr>
          <w:rFonts w:ascii="Times New Roman" w:hAnsi="Times New Roman"/>
          <w:lang w:eastAsia="ja-JP"/>
        </w:rPr>
        <w:t xml:space="preserve"> may not be able to make the ROs associated with an SSB distributed over different sub-bands</w:t>
      </w:r>
      <w:r w:rsidR="00E12368">
        <w:rPr>
          <w:rFonts w:ascii="Times New Roman" w:hAnsi="Times New Roman"/>
          <w:lang w:eastAsia="ja-JP"/>
        </w:rPr>
        <w:t xml:space="preserve"> in a wideband carrier</w:t>
      </w:r>
      <w:r w:rsidRPr="00A7515E">
        <w:rPr>
          <w:rFonts w:ascii="Times New Roman" w:hAnsi="Times New Roman"/>
          <w:lang w:eastAsia="ja-JP"/>
        </w:rPr>
        <w:t xml:space="preserve">,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00654C2E">
        <w:rPr>
          <w:rFonts w:ascii="Times New Roman" w:hAnsi="Times New Roman"/>
          <w:lang w:eastAsia="ja-JP"/>
        </w:rPr>
        <w:t xml:space="preserve">, where </w:t>
      </w:r>
      <w:r w:rsidR="00654C2E" w:rsidRPr="00654C2E">
        <w:rPr>
          <w:rFonts w:ascii="Times New Roman" w:hAnsi="Times New Roman"/>
          <w:lang w:eastAsia="ja-JP"/>
        </w:rPr>
        <w:t>PRACH resource configuration in a wideband carrier is on a LBT sub-band basis</w:t>
      </w:r>
      <w:r w:rsidR="00654C2E">
        <w:rPr>
          <w:rFonts w:ascii="Times New Roman" w:hAnsi="Times New Roman"/>
          <w:lang w:eastAsia="ja-JP"/>
        </w:rPr>
        <w:t xml:space="preserve"> as </w:t>
      </w:r>
      <w:r w:rsidR="00C14274">
        <w:rPr>
          <w:rFonts w:ascii="Times New Roman" w:hAnsi="Times New Roman"/>
          <w:lang w:eastAsia="ja-JP"/>
        </w:rPr>
        <w:t xml:space="preserve">mentioned </w:t>
      </w:r>
      <w:r w:rsidR="00654C2E">
        <w:rPr>
          <w:rFonts w:ascii="Times New Roman" w:hAnsi="Times New Roman"/>
          <w:lang w:eastAsia="ja-JP"/>
        </w:rPr>
        <w:t xml:space="preserve">in Proposal </w:t>
      </w:r>
      <w:r w:rsidR="00EE0354">
        <w:rPr>
          <w:rFonts w:ascii="Times New Roman" w:hAnsi="Times New Roman"/>
          <w:lang w:eastAsia="ja-JP"/>
        </w:rPr>
        <w:t>2</w:t>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lastRenderedPageBreak/>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4"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drawing>
          <wp:inline distT="0" distB="0" distL="0" distR="0" wp14:anchorId="18DECE65" wp14:editId="6B902E7E">
            <wp:extent cx="3377565" cy="3010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094" cy="3014656"/>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5"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5"/>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3C34AF7A"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6</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7A0ABE5" w14:textId="77777777" w:rsidR="002612AF" w:rsidRDefault="002612AF" w:rsidP="00BD3B13">
      <w:pPr>
        <w:pStyle w:val="Proposal"/>
        <w:tabs>
          <w:tab w:val="clear" w:pos="1701"/>
          <w:tab w:val="left" w:pos="0"/>
        </w:tabs>
        <w:ind w:left="0" w:firstLine="0"/>
        <w:rPr>
          <w:b w:val="0"/>
        </w:rPr>
      </w:pPr>
    </w:p>
    <w:p w14:paraId="72E2D27E" w14:textId="79B271E2" w:rsidR="00044F3A" w:rsidRDefault="00044F3A" w:rsidP="00044F3A">
      <w:pPr>
        <w:pStyle w:val="1"/>
      </w:pPr>
      <w:r>
        <w:t>Paging enhancement</w:t>
      </w:r>
    </w:p>
    <w:p w14:paraId="21DA02A9" w14:textId="7BD135C5" w:rsidR="00D80128" w:rsidRDefault="00461A89" w:rsidP="00751272">
      <w:pPr>
        <w:rPr>
          <w:rFonts w:ascii="Times New Roman" w:hAnsi="Times New Roman"/>
          <w:lang w:val="en-US" w:eastAsia="ja-JP"/>
        </w:rPr>
      </w:pPr>
      <w:r w:rsidRPr="00751272">
        <w:rPr>
          <w:rFonts w:ascii="Times New Roman" w:hAnsi="Times New Roman"/>
          <w:lang w:val="en-US" w:eastAsia="ja-JP"/>
        </w:rPr>
        <w:t xml:space="preserve">It has been identified </w:t>
      </w:r>
      <w:r>
        <w:rPr>
          <w:rFonts w:ascii="Times New Roman" w:hAnsi="Times New Roman"/>
          <w:lang w:val="en-US" w:eastAsia="ja-JP"/>
        </w:rPr>
        <w:t>that m</w:t>
      </w:r>
      <w:r w:rsidRPr="00461A89">
        <w:rPr>
          <w:rFonts w:ascii="Times New Roman" w:hAnsi="Times New Roman"/>
          <w:lang w:val="en-US" w:eastAsia="ja-JP"/>
        </w:rPr>
        <w:t>odifications to paging procedures due to reduced transmission opportunities for paging due to</w:t>
      </w:r>
      <w:r>
        <w:rPr>
          <w:rFonts w:ascii="Times New Roman" w:hAnsi="Times New Roman"/>
          <w:lang w:val="en-US" w:eastAsia="ja-JP"/>
        </w:rPr>
        <w:t xml:space="preserve"> LBT failure are beneficial in the study item phase. Therefore, mechanisms to increase</w:t>
      </w:r>
      <w:r w:rsidRPr="00461A89">
        <w:rPr>
          <w:rFonts w:ascii="Times New Roman" w:hAnsi="Times New Roman"/>
          <w:lang w:val="en-US" w:eastAsia="ja-JP"/>
        </w:rPr>
        <w:t xml:space="preserve"> time-domain paging occasions or paging monitoring occasions</w:t>
      </w:r>
      <w:r>
        <w:rPr>
          <w:rFonts w:ascii="Times New Roman" w:hAnsi="Times New Roman"/>
          <w:lang w:val="en-US" w:eastAsia="ja-JP"/>
        </w:rPr>
        <w:t xml:space="preserve"> are under discussion currently (see FLS of </w:t>
      </w:r>
      <w:r w:rsidR="007A0648">
        <w:rPr>
          <w:rFonts w:ascii="Times New Roman" w:hAnsi="Times New Roman"/>
          <w:lang w:val="en-US" w:eastAsia="ja-JP"/>
        </w:rPr>
        <w:t xml:space="preserve">previous meeting RAN1 #97 </w:t>
      </w:r>
      <w:r w:rsidR="007A0648">
        <w:rPr>
          <w:rFonts w:ascii="Times New Roman" w:hAnsi="Times New Roman"/>
          <w:lang w:val="en-US" w:eastAsia="ja-JP"/>
        </w:rPr>
        <w:fldChar w:fldCharType="begin"/>
      </w:r>
      <w:r w:rsidR="007A0648">
        <w:rPr>
          <w:rFonts w:ascii="Times New Roman" w:hAnsi="Times New Roman"/>
          <w:lang w:val="en-US" w:eastAsia="ja-JP"/>
        </w:rPr>
        <w:instrText xml:space="preserve"> REF _Ref16780742 \n \h </w:instrText>
      </w:r>
      <w:r w:rsidR="007A0648">
        <w:rPr>
          <w:rFonts w:ascii="Times New Roman" w:hAnsi="Times New Roman"/>
          <w:lang w:val="en-US" w:eastAsia="ja-JP"/>
        </w:rPr>
      </w:r>
      <w:r w:rsidR="007A0648">
        <w:rPr>
          <w:rFonts w:ascii="Times New Roman" w:hAnsi="Times New Roman"/>
          <w:lang w:val="en-US" w:eastAsia="ja-JP"/>
        </w:rPr>
        <w:fldChar w:fldCharType="separate"/>
      </w:r>
      <w:r w:rsidR="007A0648">
        <w:rPr>
          <w:rFonts w:ascii="Times New Roman" w:hAnsi="Times New Roman"/>
          <w:lang w:val="en-US" w:eastAsia="ja-JP"/>
        </w:rPr>
        <w:t>[2]</w:t>
      </w:r>
      <w:r w:rsidR="007A0648">
        <w:rPr>
          <w:rFonts w:ascii="Times New Roman" w:hAnsi="Times New Roman"/>
          <w:lang w:val="en-US" w:eastAsia="ja-JP"/>
        </w:rPr>
        <w:fldChar w:fldCharType="end"/>
      </w:r>
      <w:r>
        <w:rPr>
          <w:rFonts w:ascii="Times New Roman" w:hAnsi="Times New Roman"/>
          <w:lang w:val="en-US" w:eastAsia="ja-JP"/>
        </w:rPr>
        <w:t>)</w:t>
      </w:r>
      <w:r w:rsidR="00D80128">
        <w:rPr>
          <w:rFonts w:ascii="Times New Roman" w:hAnsi="Times New Roman"/>
          <w:lang w:val="en-US" w:eastAsia="ja-JP"/>
        </w:rPr>
        <w:t>.</w:t>
      </w:r>
    </w:p>
    <w:p w14:paraId="225F3888" w14:textId="77777777" w:rsidR="00D80128" w:rsidRDefault="00D80128" w:rsidP="00751272">
      <w:pPr>
        <w:rPr>
          <w:rFonts w:ascii="Times New Roman" w:hAnsi="Times New Roman"/>
          <w:lang w:val="en-US" w:eastAsia="ja-JP"/>
        </w:rPr>
      </w:pPr>
      <w:r>
        <w:rPr>
          <w:rFonts w:ascii="Times New Roman" w:hAnsi="Times New Roman"/>
          <w:lang w:val="en-US" w:eastAsia="ja-JP"/>
        </w:rPr>
        <w:lastRenderedPageBreak/>
        <w:t xml:space="preserve">As mentioned in section 2.2, in our view, both idle/inactive and connected mode UEs monitor GC-PDCCH carrying COT structure information, from which UEs know at least the DL/UL/Flexible symbol assignment. Based on such information, UE can skip pre-configured paging monitoring occasions. For example, UE can be configured to monitor an increased number of paging PDCCH occasions compared to licensed band operation in order to compensate the uncertainty of LBT. However, once COT structure indicates some pre-configured paging monitoring occasions as non-DL symbols, UE knows that paging would not be transmitted. This gives the power saving benefit for the UE. </w:t>
      </w:r>
    </w:p>
    <w:p w14:paraId="7CA89DB9" w14:textId="77777777" w:rsidR="00686591" w:rsidRDefault="00D80128" w:rsidP="00751272">
      <w:pPr>
        <w:rPr>
          <w:rFonts w:ascii="Times New Roman" w:hAnsi="Times New Roman"/>
          <w:lang w:val="en-US" w:eastAsia="ja-JP"/>
        </w:rPr>
      </w:pPr>
      <w:r>
        <w:rPr>
          <w:rFonts w:ascii="Times New Roman" w:hAnsi="Times New Roman"/>
          <w:lang w:val="en-US" w:eastAsia="ja-JP"/>
        </w:rPr>
        <w:t xml:space="preserve">The monitoring of GC-PDCCH carrying COT structure can be configured via SIB1 for idle/inactive UEs. </w:t>
      </w:r>
      <w:r w:rsidR="00AB7A5E">
        <w:rPr>
          <w:rFonts w:ascii="Times New Roman" w:hAnsi="Times New Roman"/>
          <w:lang w:val="en-US" w:eastAsia="ja-JP"/>
        </w:rPr>
        <w:t xml:space="preserve">The GC-PDCCH can be transmitted in CORESET#0 since it is the only CORESET for idle UE. The search space could be the same as SS#0, or a different SS. Once UE becomes RRC connected, a dedicated RRC signaling can configure new RNTI for the GC-PDCCH monitoring. This gives possibility for connected mode UE to receive different GC-PDCCH than the idle/inactive UEs. If such dedicated configuration is not received, the connected mode UE monitors the same GC-PDCCH as the idle/inactive UEs. </w:t>
      </w:r>
    </w:p>
    <w:p w14:paraId="050A3012" w14:textId="28F036C1" w:rsidR="00044F3A" w:rsidRPr="003057AD" w:rsidRDefault="00075AC6" w:rsidP="003057AD">
      <w:pPr>
        <w:rPr>
          <w:rFonts w:ascii="Times New Roman" w:hAnsi="Times New Roman"/>
          <w:lang w:val="en-US" w:eastAsia="ja-JP"/>
        </w:rPr>
      </w:pPr>
      <w:r w:rsidRPr="003057AD">
        <w:rPr>
          <w:rFonts w:ascii="Times New Roman" w:hAnsi="Times New Roman"/>
          <w:b/>
          <w:bCs/>
          <w:i/>
          <w:iCs/>
          <w:u w:val="single"/>
        </w:rPr>
        <w:t>Proposal 7</w:t>
      </w:r>
      <w:r w:rsidR="00686591">
        <w:rPr>
          <w:rFonts w:ascii="Times New Roman" w:hAnsi="Times New Roman"/>
          <w:b/>
          <w:bCs/>
          <w:i/>
          <w:iCs/>
        </w:rPr>
        <w:t>: GC-PDCCH carrying COT structure information is used to dynamically disable/enable/indicate paging monitoring time instances</w:t>
      </w:r>
      <w:r w:rsidR="003057AD">
        <w:rPr>
          <w:rFonts w:ascii="Times New Roman" w:hAnsi="Times New Roman"/>
          <w:b/>
          <w:bCs/>
          <w:i/>
          <w:iCs/>
        </w:rPr>
        <w:t>.</w:t>
      </w:r>
    </w:p>
    <w:p w14:paraId="5A948D4F" w14:textId="400515AA" w:rsidR="004928D4" w:rsidRPr="004928D4" w:rsidRDefault="00AF421E" w:rsidP="007067DE">
      <w:pPr>
        <w:pStyle w:val="1"/>
      </w:pPr>
      <w:r>
        <w:t>Conclusion</w:t>
      </w:r>
    </w:p>
    <w:p w14:paraId="2FBDC1EF" w14:textId="28AA1669"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sidR="001739D6">
        <w:rPr>
          <w:b w:val="0"/>
        </w:rPr>
        <w:t xml:space="preserve"> occasion</w:t>
      </w:r>
      <w:r>
        <w:rPr>
          <w:rFonts w:hint="eastAsia"/>
          <w:b w:val="0"/>
        </w:rPr>
        <w:t xml:space="preserve">, we would </w:t>
      </w:r>
      <w:r w:rsidR="002612AF">
        <w:rPr>
          <w:b w:val="0"/>
        </w:rPr>
        <w:t>have the observations and the proposals as follow</w:t>
      </w:r>
      <w:r w:rsidR="004B0136">
        <w:rPr>
          <w:b w:val="0"/>
        </w:rPr>
        <w:t>s</w:t>
      </w:r>
      <w:r w:rsidR="002612AF">
        <w:rPr>
          <w:b w:val="0"/>
        </w:rPr>
        <w:t>:</w:t>
      </w:r>
    </w:p>
    <w:p w14:paraId="3B363585" w14:textId="77777777" w:rsidR="00102596" w:rsidRDefault="00102596" w:rsidP="002D16AB">
      <w:pPr>
        <w:pStyle w:val="Proposal"/>
        <w:tabs>
          <w:tab w:val="clear" w:pos="1701"/>
          <w:tab w:val="left" w:pos="0"/>
        </w:tabs>
        <w:ind w:left="0" w:firstLine="0"/>
        <w:rPr>
          <w:b w:val="0"/>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102596" w:rsidRPr="00A232E2" w14:paraId="379D34B5" w14:textId="77777777" w:rsidTr="002612AF">
        <w:tc>
          <w:tcPr>
            <w:tcW w:w="735" w:type="pct"/>
          </w:tcPr>
          <w:p w14:paraId="4031347F" w14:textId="4CE86B33" w:rsidR="00102596" w:rsidRPr="002612AF" w:rsidRDefault="00102596" w:rsidP="00102596">
            <w:pPr>
              <w:pStyle w:val="Proposal"/>
              <w:ind w:left="0" w:firstLine="0"/>
              <w:rPr>
                <w:i/>
              </w:rPr>
            </w:pPr>
            <w:r>
              <w:rPr>
                <w:i/>
              </w:rPr>
              <w:t>Proposal 1</w:t>
            </w:r>
          </w:p>
        </w:tc>
        <w:tc>
          <w:tcPr>
            <w:tcW w:w="4265" w:type="pct"/>
          </w:tcPr>
          <w:p w14:paraId="3AB7C8C0" w14:textId="73F8280E" w:rsidR="00102596" w:rsidRPr="002612AF" w:rsidRDefault="00102596" w:rsidP="00102596">
            <w:pPr>
              <w:pStyle w:val="Proposal"/>
              <w:ind w:left="0" w:firstLine="0"/>
              <w:rPr>
                <w:i/>
              </w:rPr>
            </w:pPr>
            <w:r w:rsidRPr="002612AF">
              <w:rPr>
                <w:i/>
                <w:iCs/>
              </w:rPr>
              <w:t xml:space="preserve">Option </w:t>
            </w:r>
            <w:r>
              <w:rPr>
                <w:i/>
                <w:iCs/>
              </w:rPr>
              <w:t>1</w:t>
            </w:r>
            <w:r w:rsidRPr="002612AF">
              <w:rPr>
                <w:i/>
                <w:iCs/>
              </w:rPr>
              <w:t xml:space="preserve">a </w:t>
            </w:r>
            <w:r>
              <w:rPr>
                <w:i/>
                <w:iCs/>
              </w:rPr>
              <w:t xml:space="preserve">is </w:t>
            </w:r>
            <w:r w:rsidRPr="002612AF">
              <w:rPr>
                <w:i/>
                <w:iCs/>
              </w:rPr>
              <w:t>supported in NR-U.</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6E8ECA6" w:rsidR="002612AF" w:rsidRPr="002612AF" w:rsidRDefault="00ED3183" w:rsidP="002612AF">
            <w:pPr>
              <w:pStyle w:val="Proposal"/>
              <w:ind w:left="0" w:firstLine="0"/>
              <w:rPr>
                <w:i/>
              </w:rPr>
            </w:pPr>
            <w:r>
              <w:rPr>
                <w:i/>
              </w:rPr>
              <w:t xml:space="preserve">Proposal </w:t>
            </w:r>
            <w:r w:rsidR="00102596">
              <w:rPr>
                <w:i/>
              </w:rPr>
              <w:t>2</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50CB5E04" w:rsidR="002612AF" w:rsidRPr="002612AF" w:rsidRDefault="00ED3183" w:rsidP="002612AF">
            <w:pPr>
              <w:pStyle w:val="Proposal"/>
              <w:ind w:left="0" w:firstLine="0"/>
              <w:rPr>
                <w:i/>
              </w:rPr>
            </w:pPr>
            <w:r>
              <w:rPr>
                <w:i/>
              </w:rPr>
              <w:t xml:space="preserve">Proposal </w:t>
            </w:r>
            <w:r w:rsidR="00102596">
              <w:rPr>
                <w:i/>
              </w:rPr>
              <w:t>3</w:t>
            </w:r>
          </w:p>
        </w:tc>
        <w:tc>
          <w:tcPr>
            <w:tcW w:w="4265" w:type="pct"/>
          </w:tcPr>
          <w:p w14:paraId="33EB358E" w14:textId="24E2A4C2" w:rsidR="002612AF" w:rsidRPr="002612AF" w:rsidRDefault="002612AF" w:rsidP="002612AF">
            <w:pPr>
              <w:pStyle w:val="Proposal"/>
              <w:ind w:left="0" w:firstLine="0"/>
              <w:rPr>
                <w:i/>
              </w:rPr>
            </w:pPr>
            <w:r w:rsidRPr="002612AF">
              <w:rPr>
                <w:i/>
                <w:iCs/>
              </w:rPr>
              <w:t>Option 2a and 2c are supported in NR-U.</w:t>
            </w:r>
          </w:p>
        </w:tc>
      </w:tr>
      <w:tr w:rsidR="003057AD" w:rsidRPr="00A232E2" w14:paraId="09C0376D" w14:textId="77777777" w:rsidTr="002612AF">
        <w:tc>
          <w:tcPr>
            <w:tcW w:w="735" w:type="pct"/>
          </w:tcPr>
          <w:p w14:paraId="7AB9AF61" w14:textId="5BB4D2E1" w:rsidR="003057AD" w:rsidRDefault="003057AD" w:rsidP="002612AF">
            <w:pPr>
              <w:pStyle w:val="Proposal"/>
              <w:ind w:left="0" w:firstLine="0"/>
              <w:rPr>
                <w:i/>
              </w:rPr>
            </w:pPr>
            <w:r>
              <w:rPr>
                <w:i/>
              </w:rPr>
              <w:t>Proposal 4</w:t>
            </w:r>
          </w:p>
        </w:tc>
        <w:tc>
          <w:tcPr>
            <w:tcW w:w="4265" w:type="pct"/>
          </w:tcPr>
          <w:p w14:paraId="408A03CA" w14:textId="148FA649" w:rsidR="003057AD" w:rsidRPr="002612AF" w:rsidRDefault="003057AD" w:rsidP="002612AF">
            <w:pPr>
              <w:pStyle w:val="Proposal"/>
              <w:ind w:left="0" w:firstLine="0"/>
              <w:rPr>
                <w:i/>
                <w:iCs/>
              </w:rPr>
            </w:pPr>
            <w:r>
              <w:rPr>
                <w:bCs/>
                <w:i/>
                <w:iCs/>
              </w:rPr>
              <w:t>GC-PDCCH carrying COT structure information is used for the dynamic indication of PRACH time instances.</w:t>
            </w:r>
          </w:p>
        </w:tc>
      </w:tr>
      <w:tr w:rsidR="002673CB" w:rsidRPr="00A232E2" w14:paraId="095D7B1A" w14:textId="77777777" w:rsidTr="002612AF">
        <w:tc>
          <w:tcPr>
            <w:tcW w:w="735" w:type="pct"/>
          </w:tcPr>
          <w:p w14:paraId="2B7415E8" w14:textId="6DC56427" w:rsidR="002673CB" w:rsidRPr="002612AF" w:rsidRDefault="003057AD" w:rsidP="002673CB">
            <w:pPr>
              <w:pStyle w:val="Proposal"/>
              <w:ind w:left="0" w:firstLine="0"/>
              <w:rPr>
                <w:i/>
              </w:rPr>
            </w:pPr>
            <w:r>
              <w:rPr>
                <w:i/>
              </w:rPr>
              <w:t>Proposal 5</w:t>
            </w:r>
          </w:p>
        </w:tc>
        <w:tc>
          <w:tcPr>
            <w:tcW w:w="4265" w:type="pct"/>
          </w:tcPr>
          <w:p w14:paraId="1F793E73" w14:textId="76812E84" w:rsidR="002673CB" w:rsidRPr="002612AF" w:rsidRDefault="002673CB" w:rsidP="002673CB">
            <w:pPr>
              <w:pStyle w:val="Proposal"/>
              <w:ind w:left="0" w:firstLine="0"/>
              <w:rPr>
                <w:bCs/>
                <w:i/>
                <w:iCs/>
              </w:rPr>
            </w:pPr>
            <w:r w:rsidRPr="002612AF">
              <w:rPr>
                <w:i/>
                <w:iCs/>
              </w:rPr>
              <w:t xml:space="preserve">Option </w:t>
            </w:r>
            <w:r>
              <w:rPr>
                <w:i/>
                <w:iCs/>
              </w:rPr>
              <w:t>2e</w:t>
            </w:r>
            <w:r w:rsidRPr="002612AF">
              <w:rPr>
                <w:i/>
                <w:iCs/>
              </w:rPr>
              <w:t xml:space="preserve"> </w:t>
            </w:r>
            <w:r>
              <w:rPr>
                <w:i/>
                <w:iCs/>
              </w:rPr>
              <w:t xml:space="preserve">is </w:t>
            </w:r>
            <w:r w:rsidRPr="002612AF">
              <w:rPr>
                <w:i/>
                <w:iCs/>
              </w:rPr>
              <w:t xml:space="preserve">supported in </w:t>
            </w:r>
            <w:r>
              <w:rPr>
                <w:i/>
                <w:iCs/>
              </w:rPr>
              <w:t xml:space="preserve">a single </w:t>
            </w:r>
            <w:r w:rsidRPr="002612AF">
              <w:rPr>
                <w:i/>
                <w:iCs/>
              </w:rPr>
              <w:t>NR-U</w:t>
            </w:r>
            <w:r>
              <w:rPr>
                <w:i/>
                <w:iCs/>
              </w:rPr>
              <w:t xml:space="preserve"> carrier</w:t>
            </w:r>
            <w:r w:rsidRPr="002612AF">
              <w:rPr>
                <w:i/>
                <w:iCs/>
              </w:rPr>
              <w:t>.</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0470B577" w:rsidR="002612AF" w:rsidRPr="002612AF" w:rsidRDefault="00ED3183" w:rsidP="002612AF">
            <w:pPr>
              <w:pStyle w:val="Proposal"/>
              <w:ind w:left="0" w:firstLine="0"/>
              <w:rPr>
                <w:i/>
              </w:rPr>
            </w:pPr>
            <w:r>
              <w:rPr>
                <w:i/>
              </w:rPr>
              <w:t xml:space="preserve">Proposal </w:t>
            </w:r>
            <w:r w:rsidR="003057AD">
              <w:rPr>
                <w:i/>
              </w:rPr>
              <w:t>6</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r w:rsidR="003057AD" w:rsidRPr="00A232E2" w14:paraId="4EB53A08" w14:textId="77777777" w:rsidTr="002612AF">
        <w:tc>
          <w:tcPr>
            <w:tcW w:w="735" w:type="pct"/>
          </w:tcPr>
          <w:p w14:paraId="21543DA1" w14:textId="64A62962" w:rsidR="003057AD" w:rsidRDefault="003057AD" w:rsidP="002612AF">
            <w:pPr>
              <w:pStyle w:val="Proposal"/>
              <w:ind w:left="0" w:firstLine="0"/>
              <w:rPr>
                <w:i/>
              </w:rPr>
            </w:pPr>
            <w:r>
              <w:rPr>
                <w:bCs/>
                <w:i/>
                <w:iCs/>
              </w:rPr>
              <w:t>Proposal 7</w:t>
            </w:r>
          </w:p>
        </w:tc>
        <w:tc>
          <w:tcPr>
            <w:tcW w:w="4265" w:type="pct"/>
          </w:tcPr>
          <w:p w14:paraId="37CD013C" w14:textId="42F46E3E" w:rsidR="003057AD" w:rsidRPr="002612AF" w:rsidRDefault="003057AD" w:rsidP="002612AF">
            <w:pPr>
              <w:pStyle w:val="Proposal"/>
              <w:ind w:left="0" w:firstLine="0"/>
              <w:rPr>
                <w:i/>
              </w:rPr>
            </w:pPr>
            <w:r>
              <w:rPr>
                <w:bCs/>
                <w:i/>
                <w:iCs/>
              </w:rPr>
              <w:t>GC-PDCCH carrying COT structure information is used to dynamically disable/enable/indicate paging monitoring time instances.</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0EE7BDC9" w14:textId="19508A51" w:rsidR="00751272" w:rsidRPr="00430A1A" w:rsidRDefault="00751272" w:rsidP="00430A1A">
      <w:pPr>
        <w:pStyle w:val="References"/>
        <w:rPr>
          <w:bCs/>
        </w:rPr>
      </w:pPr>
      <w:bookmarkStart w:id="6" w:name="_Ref534788829"/>
      <w:bookmarkStart w:id="7" w:name="_Ref524431486"/>
      <w:bookmarkStart w:id="8" w:name="_Ref20909030"/>
      <w:r w:rsidRPr="00430A1A">
        <w:rPr>
          <w:bCs/>
        </w:rPr>
        <w:t>R1-190</w:t>
      </w:r>
      <w:r w:rsidR="00430A1A">
        <w:rPr>
          <w:bCs/>
        </w:rPr>
        <w:t>8425</w:t>
      </w:r>
      <w:r w:rsidRPr="00430A1A">
        <w:rPr>
          <w:bCs/>
        </w:rPr>
        <w:t>, “</w:t>
      </w:r>
      <w:r w:rsidR="00430A1A" w:rsidRPr="00430A1A">
        <w:rPr>
          <w:bCs/>
        </w:rPr>
        <w:t>PRACH and paging resource enhancement for NR-U</w:t>
      </w:r>
      <w:r w:rsidRPr="00430A1A">
        <w:rPr>
          <w:bCs/>
        </w:rPr>
        <w:t>,” Panasonic, RAN1 #9</w:t>
      </w:r>
      <w:r w:rsidR="00430A1A">
        <w:rPr>
          <w:bCs/>
        </w:rPr>
        <w:t>8</w:t>
      </w:r>
      <w:r w:rsidRPr="00430A1A">
        <w:rPr>
          <w:bCs/>
        </w:rPr>
        <w:t xml:space="preserve">, </w:t>
      </w:r>
      <w:r w:rsidR="00430A1A">
        <w:rPr>
          <w:bCs/>
        </w:rPr>
        <w:t>Prague</w:t>
      </w:r>
      <w:r w:rsidRPr="00430A1A">
        <w:rPr>
          <w:bCs/>
        </w:rPr>
        <w:t xml:space="preserve">, </w:t>
      </w:r>
      <w:r w:rsidR="00430A1A">
        <w:rPr>
          <w:bCs/>
        </w:rPr>
        <w:t>Aug.</w:t>
      </w:r>
      <w:r w:rsidRPr="00430A1A">
        <w:rPr>
          <w:bCs/>
        </w:rPr>
        <w:t xml:space="preserve"> 2019</w:t>
      </w:r>
      <w:bookmarkEnd w:id="8"/>
    </w:p>
    <w:p w14:paraId="71951EA9" w14:textId="45EAE56C" w:rsidR="00751272" w:rsidRDefault="00751272" w:rsidP="00CB37FD">
      <w:pPr>
        <w:pStyle w:val="References"/>
        <w:rPr>
          <w:bCs/>
        </w:rPr>
      </w:pPr>
      <w:bookmarkStart w:id="9" w:name="_Ref16780742"/>
      <w:r>
        <w:rPr>
          <w:bCs/>
        </w:rPr>
        <w:t>R1-</w:t>
      </w:r>
      <w:r w:rsidRPr="00461A89">
        <w:rPr>
          <w:bCs/>
        </w:rPr>
        <w:t>1907857</w:t>
      </w:r>
      <w:r>
        <w:rPr>
          <w:bCs/>
        </w:rPr>
        <w:t>, “</w:t>
      </w:r>
      <w:r w:rsidRPr="00461A89">
        <w:rPr>
          <w:bCs/>
        </w:rPr>
        <w:t>Feature lead summary #2 of Enhancements to initial access procedure</w:t>
      </w:r>
      <w:r>
        <w:rPr>
          <w:bCs/>
        </w:rPr>
        <w:t xml:space="preserve">,” </w:t>
      </w:r>
      <w:r w:rsidRPr="00461A89">
        <w:rPr>
          <w:bCs/>
        </w:rPr>
        <w:t>Charter Communications</w:t>
      </w:r>
      <w:r>
        <w:rPr>
          <w:bCs/>
        </w:rPr>
        <w:t>, RAN1#97, Reno, May 2019.</w:t>
      </w:r>
      <w:bookmarkEnd w:id="9"/>
    </w:p>
    <w:bookmarkEnd w:id="6"/>
    <w:bookmarkEnd w:id="7"/>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10" w:name="_Ref525834641"/>
      <w:r>
        <w:t>Appendix – Agreements from prior Meetings</w:t>
      </w:r>
      <w:bookmarkEnd w:id="10"/>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lastRenderedPageBreak/>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B1265" w14:textId="77777777" w:rsidR="003334C0" w:rsidRDefault="003334C0">
      <w:pPr>
        <w:spacing w:after="0"/>
      </w:pPr>
      <w:r>
        <w:separator/>
      </w:r>
    </w:p>
  </w:endnote>
  <w:endnote w:type="continuationSeparator" w:id="0">
    <w:p w14:paraId="647A608F" w14:textId="77777777" w:rsidR="003334C0" w:rsidRDefault="003334C0">
      <w:pPr>
        <w:spacing w:after="0"/>
      </w:pPr>
      <w:r>
        <w:continuationSeparator/>
      </w:r>
    </w:p>
  </w:endnote>
  <w:endnote w:type="continuationNotice" w:id="1">
    <w:p w14:paraId="6D545D11" w14:textId="77777777" w:rsidR="003334C0" w:rsidRDefault="00333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7F057" w14:textId="77777777" w:rsidR="003334C0" w:rsidRDefault="003334C0">
      <w:pPr>
        <w:spacing w:after="0"/>
      </w:pPr>
      <w:r>
        <w:separator/>
      </w:r>
    </w:p>
  </w:footnote>
  <w:footnote w:type="continuationSeparator" w:id="0">
    <w:p w14:paraId="5D1BFEE1" w14:textId="77777777" w:rsidR="003334C0" w:rsidRDefault="003334C0">
      <w:pPr>
        <w:spacing w:after="0"/>
      </w:pPr>
      <w:r>
        <w:continuationSeparator/>
      </w:r>
    </w:p>
  </w:footnote>
  <w:footnote w:type="continuationNotice" w:id="1">
    <w:p w14:paraId="308F06D6" w14:textId="77777777" w:rsidR="003334C0" w:rsidRDefault="003334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A2E"/>
    <w:multiLevelType w:val="hybridMultilevel"/>
    <w:tmpl w:val="F940C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2"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3"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2"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3"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8"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9"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3"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7"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6"/>
  </w:num>
  <w:num w:numId="2">
    <w:abstractNumId w:val="76"/>
  </w:num>
  <w:num w:numId="3">
    <w:abstractNumId w:val="76"/>
  </w:num>
  <w:num w:numId="4">
    <w:abstractNumId w:val="76"/>
  </w:num>
  <w:num w:numId="5">
    <w:abstractNumId w:val="76"/>
  </w:num>
  <w:num w:numId="6">
    <w:abstractNumId w:val="76"/>
  </w:num>
  <w:num w:numId="7">
    <w:abstractNumId w:val="16"/>
  </w:num>
  <w:num w:numId="8">
    <w:abstractNumId w:val="65"/>
  </w:num>
  <w:num w:numId="9">
    <w:abstractNumId w:val="70"/>
  </w:num>
  <w:num w:numId="10">
    <w:abstractNumId w:val="68"/>
  </w:num>
  <w:num w:numId="11">
    <w:abstractNumId w:val="25"/>
  </w:num>
  <w:num w:numId="12">
    <w:abstractNumId w:val="8"/>
  </w:num>
  <w:num w:numId="13">
    <w:abstractNumId w:val="47"/>
  </w:num>
  <w:num w:numId="14">
    <w:abstractNumId w:val="62"/>
  </w:num>
  <w:num w:numId="15">
    <w:abstractNumId w:val="72"/>
  </w:num>
  <w:num w:numId="16">
    <w:abstractNumId w:val="35"/>
  </w:num>
  <w:num w:numId="17">
    <w:abstractNumId w:val="53"/>
  </w:num>
  <w:num w:numId="18">
    <w:abstractNumId w:val="26"/>
  </w:num>
  <w:num w:numId="19">
    <w:abstractNumId w:val="12"/>
  </w:num>
  <w:num w:numId="20">
    <w:abstractNumId w:val="15"/>
  </w:num>
  <w:num w:numId="21">
    <w:abstractNumId w:val="44"/>
  </w:num>
  <w:num w:numId="22">
    <w:abstractNumId w:val="76"/>
  </w:num>
  <w:num w:numId="23">
    <w:abstractNumId w:val="76"/>
  </w:num>
  <w:num w:numId="24">
    <w:abstractNumId w:val="76"/>
  </w:num>
  <w:num w:numId="25">
    <w:abstractNumId w:val="44"/>
  </w:num>
  <w:num w:numId="26">
    <w:abstractNumId w:val="49"/>
  </w:num>
  <w:num w:numId="27">
    <w:abstractNumId w:val="46"/>
  </w:num>
  <w:num w:numId="28">
    <w:abstractNumId w:val="1"/>
  </w:num>
  <w:num w:numId="29">
    <w:abstractNumId w:val="7"/>
  </w:num>
  <w:num w:numId="30">
    <w:abstractNumId w:val="30"/>
  </w:num>
  <w:num w:numId="31">
    <w:abstractNumId w:val="40"/>
  </w:num>
  <w:num w:numId="32">
    <w:abstractNumId w:val="50"/>
  </w:num>
  <w:num w:numId="33">
    <w:abstractNumId w:val="33"/>
  </w:num>
  <w:num w:numId="34">
    <w:abstractNumId w:val="58"/>
  </w:num>
  <w:num w:numId="35">
    <w:abstractNumId w:val="63"/>
  </w:num>
  <w:num w:numId="36">
    <w:abstractNumId w:val="60"/>
  </w:num>
  <w:num w:numId="37">
    <w:abstractNumId w:val="64"/>
  </w:num>
  <w:num w:numId="38">
    <w:abstractNumId w:val="61"/>
  </w:num>
  <w:num w:numId="39">
    <w:abstractNumId w:val="79"/>
  </w:num>
  <w:num w:numId="40">
    <w:abstractNumId w:val="41"/>
  </w:num>
  <w:num w:numId="41">
    <w:abstractNumId w:val="38"/>
  </w:num>
  <w:num w:numId="42">
    <w:abstractNumId w:val="29"/>
  </w:num>
  <w:num w:numId="43">
    <w:abstractNumId w:val="21"/>
  </w:num>
  <w:num w:numId="44">
    <w:abstractNumId w:val="37"/>
  </w:num>
  <w:num w:numId="45">
    <w:abstractNumId w:val="74"/>
  </w:num>
  <w:num w:numId="46">
    <w:abstractNumId w:val="24"/>
  </w:num>
  <w:num w:numId="47">
    <w:abstractNumId w:val="43"/>
  </w:num>
  <w:num w:numId="48">
    <w:abstractNumId w:val="54"/>
  </w:num>
  <w:num w:numId="49">
    <w:abstractNumId w:val="18"/>
  </w:num>
  <w:num w:numId="50">
    <w:abstractNumId w:val="13"/>
  </w:num>
  <w:num w:numId="51">
    <w:abstractNumId w:val="66"/>
  </w:num>
  <w:num w:numId="52">
    <w:abstractNumId w:val="77"/>
  </w:num>
  <w:num w:numId="53">
    <w:abstractNumId w:val="22"/>
  </w:num>
  <w:num w:numId="54">
    <w:abstractNumId w:val="5"/>
  </w:num>
  <w:num w:numId="55">
    <w:abstractNumId w:val="75"/>
  </w:num>
  <w:num w:numId="56">
    <w:abstractNumId w:val="3"/>
  </w:num>
  <w:num w:numId="57">
    <w:abstractNumId w:val="17"/>
  </w:num>
  <w:num w:numId="58">
    <w:abstractNumId w:val="6"/>
  </w:num>
  <w:num w:numId="59">
    <w:abstractNumId w:val="57"/>
  </w:num>
  <w:num w:numId="60">
    <w:abstractNumId w:val="52"/>
  </w:num>
  <w:num w:numId="61">
    <w:abstractNumId w:val="78"/>
  </w:num>
  <w:num w:numId="62">
    <w:abstractNumId w:val="27"/>
  </w:num>
  <w:num w:numId="63">
    <w:abstractNumId w:val="23"/>
  </w:num>
  <w:num w:numId="64">
    <w:abstractNumId w:val="73"/>
  </w:num>
  <w:num w:numId="65">
    <w:abstractNumId w:val="69"/>
  </w:num>
  <w:num w:numId="66">
    <w:abstractNumId w:val="56"/>
  </w:num>
  <w:num w:numId="67">
    <w:abstractNumId w:val="19"/>
  </w:num>
  <w:num w:numId="68">
    <w:abstractNumId w:val="28"/>
  </w:num>
  <w:num w:numId="69">
    <w:abstractNumId w:val="14"/>
  </w:num>
  <w:num w:numId="70">
    <w:abstractNumId w:val="55"/>
  </w:num>
  <w:num w:numId="71">
    <w:abstractNumId w:val="48"/>
  </w:num>
  <w:num w:numId="72">
    <w:abstractNumId w:val="59"/>
  </w:num>
  <w:num w:numId="73">
    <w:abstractNumId w:val="71"/>
  </w:num>
  <w:num w:numId="74">
    <w:abstractNumId w:val="34"/>
  </w:num>
  <w:num w:numId="75">
    <w:abstractNumId w:val="10"/>
  </w:num>
  <w:num w:numId="76">
    <w:abstractNumId w:val="9"/>
  </w:num>
  <w:num w:numId="77">
    <w:abstractNumId w:val="0"/>
  </w:num>
  <w:num w:numId="78">
    <w:abstractNumId w:val="11"/>
  </w:num>
  <w:num w:numId="79">
    <w:abstractNumId w:val="36"/>
  </w:num>
  <w:num w:numId="80">
    <w:abstractNumId w:val="31"/>
  </w:num>
  <w:num w:numId="81">
    <w:abstractNumId w:val="42"/>
  </w:num>
  <w:num w:numId="82">
    <w:abstractNumId w:val="67"/>
  </w:num>
  <w:num w:numId="83">
    <w:abstractNumId w:val="39"/>
    <w:lvlOverride w:ilvl="0">
      <w:startOverride w:val="1"/>
    </w:lvlOverride>
  </w:num>
  <w:num w:numId="84">
    <w:abstractNumId w:val="20"/>
  </w:num>
  <w:num w:numId="85">
    <w:abstractNumId w:val="2"/>
  </w:num>
  <w:num w:numId="86">
    <w:abstractNumId w:val="51"/>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2"/>
  </w:num>
  <w:num w:numId="89">
    <w:abstractNumId w:val="51"/>
    <w:lvlOverride w:ilvl="0">
      <w:startOverride w:val="1"/>
    </w:lvlOverride>
    <w:lvlOverride w:ilvl="1">
      <w:startOverride w:val="1"/>
    </w:lvlOverride>
    <w:lvlOverride w:ilvl="2"/>
    <w:lvlOverride w:ilvl="3"/>
    <w:lvlOverride w:ilvl="4"/>
    <w:lvlOverride w:ilvl="5"/>
    <w:lvlOverride w:ilvl="6"/>
    <w:lvlOverride w:ilvl="7"/>
    <w:lvlOverride w:ilvl="8"/>
  </w:num>
  <w:num w:numId="90">
    <w:abstractNumId w:val="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2E47"/>
    <w:rsid w:val="000431CC"/>
    <w:rsid w:val="00044F3A"/>
    <w:rsid w:val="00046244"/>
    <w:rsid w:val="00047EEB"/>
    <w:rsid w:val="00050451"/>
    <w:rsid w:val="00054723"/>
    <w:rsid w:val="00054C96"/>
    <w:rsid w:val="00055B55"/>
    <w:rsid w:val="0005710F"/>
    <w:rsid w:val="00060D18"/>
    <w:rsid w:val="00062E53"/>
    <w:rsid w:val="00064856"/>
    <w:rsid w:val="00065761"/>
    <w:rsid w:val="00066B7B"/>
    <w:rsid w:val="00067047"/>
    <w:rsid w:val="00070E79"/>
    <w:rsid w:val="000717B4"/>
    <w:rsid w:val="00071AE6"/>
    <w:rsid w:val="0007304E"/>
    <w:rsid w:val="00074E7A"/>
    <w:rsid w:val="00075AC6"/>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5BF"/>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2596"/>
    <w:rsid w:val="00104659"/>
    <w:rsid w:val="0010546B"/>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5B0"/>
    <w:rsid w:val="00171EEA"/>
    <w:rsid w:val="001727CE"/>
    <w:rsid w:val="0017398B"/>
    <w:rsid w:val="001739D6"/>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B7EFF"/>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1CF4"/>
    <w:rsid w:val="001D3C29"/>
    <w:rsid w:val="001D6179"/>
    <w:rsid w:val="001D64A4"/>
    <w:rsid w:val="001D702E"/>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3CB"/>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7AD"/>
    <w:rsid w:val="00305E41"/>
    <w:rsid w:val="003077C0"/>
    <w:rsid w:val="00312B2E"/>
    <w:rsid w:val="00314D9E"/>
    <w:rsid w:val="00315576"/>
    <w:rsid w:val="00315C78"/>
    <w:rsid w:val="00317530"/>
    <w:rsid w:val="00317A20"/>
    <w:rsid w:val="003202DE"/>
    <w:rsid w:val="003235FC"/>
    <w:rsid w:val="00323F20"/>
    <w:rsid w:val="0032454B"/>
    <w:rsid w:val="0032478D"/>
    <w:rsid w:val="00325122"/>
    <w:rsid w:val="00325A4E"/>
    <w:rsid w:val="00325C57"/>
    <w:rsid w:val="00327AF5"/>
    <w:rsid w:val="00332268"/>
    <w:rsid w:val="00332FCA"/>
    <w:rsid w:val="003334C0"/>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08B"/>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5FC"/>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0A1A"/>
    <w:rsid w:val="00430DB3"/>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1A89"/>
    <w:rsid w:val="004626D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3B4"/>
    <w:rsid w:val="004A4520"/>
    <w:rsid w:val="004A45EA"/>
    <w:rsid w:val="004A5A34"/>
    <w:rsid w:val="004A5C46"/>
    <w:rsid w:val="004A5FA6"/>
    <w:rsid w:val="004A6091"/>
    <w:rsid w:val="004A629F"/>
    <w:rsid w:val="004A6334"/>
    <w:rsid w:val="004A779A"/>
    <w:rsid w:val="004B0136"/>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C4880"/>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0A5A"/>
    <w:rsid w:val="0050111B"/>
    <w:rsid w:val="00501ABC"/>
    <w:rsid w:val="0050242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5E4"/>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773"/>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7441B"/>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C6B5E"/>
    <w:rsid w:val="005D0ACA"/>
    <w:rsid w:val="005D18B1"/>
    <w:rsid w:val="005D2127"/>
    <w:rsid w:val="005D2BE8"/>
    <w:rsid w:val="005D43BA"/>
    <w:rsid w:val="005D5A70"/>
    <w:rsid w:val="005D6246"/>
    <w:rsid w:val="005D649B"/>
    <w:rsid w:val="005E013E"/>
    <w:rsid w:val="005E04CB"/>
    <w:rsid w:val="005E1E46"/>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29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54C2E"/>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04FC"/>
    <w:rsid w:val="006812A5"/>
    <w:rsid w:val="00681BE3"/>
    <w:rsid w:val="00681FC7"/>
    <w:rsid w:val="00682EAC"/>
    <w:rsid w:val="00686467"/>
    <w:rsid w:val="00686591"/>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1272"/>
    <w:rsid w:val="007543A5"/>
    <w:rsid w:val="00756CA1"/>
    <w:rsid w:val="0075750B"/>
    <w:rsid w:val="00761511"/>
    <w:rsid w:val="00761AD1"/>
    <w:rsid w:val="00761B06"/>
    <w:rsid w:val="00761DA7"/>
    <w:rsid w:val="00761EC5"/>
    <w:rsid w:val="00763176"/>
    <w:rsid w:val="0076387C"/>
    <w:rsid w:val="00763BAA"/>
    <w:rsid w:val="007640A9"/>
    <w:rsid w:val="0076500D"/>
    <w:rsid w:val="0076759D"/>
    <w:rsid w:val="00767AE9"/>
    <w:rsid w:val="00767CA4"/>
    <w:rsid w:val="0077001B"/>
    <w:rsid w:val="007711CD"/>
    <w:rsid w:val="00772118"/>
    <w:rsid w:val="00772BA2"/>
    <w:rsid w:val="00775ECF"/>
    <w:rsid w:val="0078098E"/>
    <w:rsid w:val="00781C6C"/>
    <w:rsid w:val="0078311D"/>
    <w:rsid w:val="007833DA"/>
    <w:rsid w:val="00784586"/>
    <w:rsid w:val="00784630"/>
    <w:rsid w:val="00785D59"/>
    <w:rsid w:val="007863A4"/>
    <w:rsid w:val="00786760"/>
    <w:rsid w:val="00786FD2"/>
    <w:rsid w:val="00792B6C"/>
    <w:rsid w:val="00792EA0"/>
    <w:rsid w:val="00793932"/>
    <w:rsid w:val="00794B15"/>
    <w:rsid w:val="00795840"/>
    <w:rsid w:val="00796151"/>
    <w:rsid w:val="00796E89"/>
    <w:rsid w:val="007A05DC"/>
    <w:rsid w:val="007A0648"/>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F16"/>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6C"/>
    <w:rsid w:val="008F3ECB"/>
    <w:rsid w:val="008F4D63"/>
    <w:rsid w:val="008F522B"/>
    <w:rsid w:val="008F63D1"/>
    <w:rsid w:val="008F7D1F"/>
    <w:rsid w:val="00900285"/>
    <w:rsid w:val="00900E4C"/>
    <w:rsid w:val="009031C6"/>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5D49"/>
    <w:rsid w:val="00986617"/>
    <w:rsid w:val="00991C99"/>
    <w:rsid w:val="009922BA"/>
    <w:rsid w:val="00992B88"/>
    <w:rsid w:val="00993171"/>
    <w:rsid w:val="00994553"/>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43F"/>
    <w:rsid w:val="009E0B22"/>
    <w:rsid w:val="009E36F1"/>
    <w:rsid w:val="009E651A"/>
    <w:rsid w:val="009E6CF9"/>
    <w:rsid w:val="009E6F62"/>
    <w:rsid w:val="009E7724"/>
    <w:rsid w:val="009F0C62"/>
    <w:rsid w:val="009F28AF"/>
    <w:rsid w:val="009F2E45"/>
    <w:rsid w:val="009F3C8F"/>
    <w:rsid w:val="009F3E25"/>
    <w:rsid w:val="009F457D"/>
    <w:rsid w:val="009F47B1"/>
    <w:rsid w:val="009F5BC9"/>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600A"/>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B7A5E"/>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70F"/>
    <w:rsid w:val="00AD7CF9"/>
    <w:rsid w:val="00AD7D97"/>
    <w:rsid w:val="00AE420E"/>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2A94"/>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03C"/>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171E"/>
    <w:rsid w:val="00BC1EB5"/>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4274"/>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0C05"/>
    <w:rsid w:val="00C51827"/>
    <w:rsid w:val="00C518AC"/>
    <w:rsid w:val="00C51D50"/>
    <w:rsid w:val="00C52D1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3DB"/>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28"/>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7A2"/>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52B2"/>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368"/>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27468"/>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4BF"/>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3183"/>
    <w:rsid w:val="00ED4D9A"/>
    <w:rsid w:val="00ED56BF"/>
    <w:rsid w:val="00ED5EA4"/>
    <w:rsid w:val="00ED635D"/>
    <w:rsid w:val="00ED78B0"/>
    <w:rsid w:val="00EE0354"/>
    <w:rsid w:val="00EE0882"/>
    <w:rsid w:val="00EE18D0"/>
    <w:rsid w:val="00EE27EA"/>
    <w:rsid w:val="00EE347D"/>
    <w:rsid w:val="00EE4342"/>
    <w:rsid w:val="00EE5DF4"/>
    <w:rsid w:val="00EE6BBA"/>
    <w:rsid w:val="00EF0EE3"/>
    <w:rsid w:val="00EF2FB5"/>
    <w:rsid w:val="00EF3A36"/>
    <w:rsid w:val="00EF6E14"/>
    <w:rsid w:val="00EF7FCD"/>
    <w:rsid w:val="00F00D48"/>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899"/>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1A1"/>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9BA54E0-B3F6-422F-A726-0D41F8D2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2014</Words>
  <Characters>11485</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R1-1906084</vt:lpstr>
      <vt:lpstr>R1-1906084</vt:lpstr>
    </vt:vector>
  </TitlesOfParts>
  <Company>Panasonic Corporation</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R1-1908425</dc:title>
  <dc:subject>PRACH and paging resource enhancement for NR-U</dc:subject>
  <dc:creator>maki.shotaro@jp.panasonic.com</dc:creator>
  <cp:keywords>3GPP; RAN1</cp:keywords>
  <dc:description/>
  <cp:lastModifiedBy>Maki Shotaro (眞木 翔太郎)</cp:lastModifiedBy>
  <cp:revision>8</cp:revision>
  <dcterms:created xsi:type="dcterms:W3CDTF">2019-08-15T03:22:00Z</dcterms:created>
  <dcterms:modified xsi:type="dcterms:W3CDTF">2019-10-02T02:43:00Z</dcterms:modified>
</cp:coreProperties>
</file>